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Pr>
      <w:tblGrid>
        <w:gridCol w:w="1838"/>
        <w:gridCol w:w="1673"/>
        <w:gridCol w:w="709"/>
        <w:gridCol w:w="1164"/>
        <w:gridCol w:w="1423"/>
        <w:gridCol w:w="3966"/>
      </w:tblGrid>
      <w:tr w:rsidR="00571FFC" w:rsidRPr="00980179" w:rsidTr="004A5599">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Department of Health</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Work unit</w:t>
            </w:r>
          </w:p>
        </w:tc>
        <w:tc>
          <w:tcPr>
            <w:tcW w:w="3966" w:type="dxa"/>
            <w:tcBorders>
              <w:top w:val="single" w:sz="4" w:space="0" w:color="1F1F5F" w:themeColor="text1"/>
              <w:lef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Department of Medicine</w:t>
            </w:r>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General Physician - </w:t>
            </w:r>
            <w:r w:rsidR="00EC2C75" w:rsidRPr="00980179">
              <w:rPr>
                <w:rFonts w:asciiTheme="minorHAnsi" w:hAnsiTheme="minorHAnsi"/>
                <w:sz w:val="17"/>
                <w:szCs w:val="17"/>
              </w:rPr>
              <w:t>Rehabilitation</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Designation</w:t>
            </w:r>
          </w:p>
        </w:tc>
        <w:tc>
          <w:tcPr>
            <w:tcW w:w="3966" w:type="dxa"/>
            <w:tcBorders>
              <w:lef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Specialist Clinician SMO1.1 to SMO1.6</w:t>
            </w:r>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Full</w:t>
            </w:r>
            <w:r w:rsidR="00527310" w:rsidRPr="00980179">
              <w:rPr>
                <w:rFonts w:asciiTheme="minorHAnsi" w:hAnsiTheme="minorHAnsi"/>
                <w:sz w:val="17"/>
                <w:szCs w:val="17"/>
              </w:rPr>
              <w:t xml:space="preserve"> </w:t>
            </w:r>
            <w:r w:rsidR="002122A2">
              <w:rPr>
                <w:rFonts w:asciiTheme="minorHAnsi" w:hAnsiTheme="minorHAnsi"/>
                <w:sz w:val="17"/>
                <w:szCs w:val="17"/>
              </w:rPr>
              <w:t>T</w:t>
            </w:r>
            <w:r w:rsidRPr="00980179">
              <w:rPr>
                <w:rFonts w:asciiTheme="minorHAnsi" w:hAnsiTheme="minorHAnsi"/>
                <w:sz w:val="17"/>
                <w:szCs w:val="17"/>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Duration</w:t>
            </w:r>
          </w:p>
        </w:tc>
        <w:tc>
          <w:tcPr>
            <w:tcW w:w="3966" w:type="dxa"/>
            <w:tcBorders>
              <w:left w:val="single" w:sz="4" w:space="0" w:color="1F1F5F" w:themeColor="text1"/>
            </w:tcBorders>
            <w:tcMar>
              <w:left w:w="57" w:type="dxa"/>
              <w:right w:w="57" w:type="dxa"/>
            </w:tcMar>
          </w:tcPr>
          <w:p w:rsidR="00571FFC" w:rsidRPr="00980179" w:rsidRDefault="00527310"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Fixed for 5</w:t>
            </w:r>
            <w:r w:rsidR="002E41FE" w:rsidRPr="00980179">
              <w:rPr>
                <w:rFonts w:asciiTheme="minorHAnsi" w:hAnsiTheme="minorHAnsi"/>
                <w:sz w:val="17"/>
                <w:szCs w:val="17"/>
              </w:rPr>
              <w:t xml:space="preserve"> years </w:t>
            </w:r>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571FFC" w:rsidRPr="00980179" w:rsidRDefault="00527310"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$189,585 - $231,984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Location</w:t>
            </w:r>
          </w:p>
        </w:tc>
        <w:tc>
          <w:tcPr>
            <w:tcW w:w="3966" w:type="dxa"/>
            <w:tcBorders>
              <w:left w:val="single" w:sz="4" w:space="0" w:color="1F1F5F" w:themeColor="text1"/>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Alice Springs </w:t>
            </w:r>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71FFC" w:rsidRPr="00980179" w:rsidRDefault="000F636D"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39405</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71FFC" w:rsidRPr="00980179" w:rsidRDefault="004F0F16"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237092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571FFC" w:rsidRPr="00980179" w:rsidRDefault="004B5563"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18/04/2022</w:t>
            </w:r>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571FFC" w:rsidRPr="00980179" w:rsidRDefault="00244A64" w:rsidP="008921D6">
            <w:pPr>
              <w:spacing w:before="20" w:after="20" w:line="240" w:lineRule="auto"/>
              <w:jc w:val="both"/>
              <w:rPr>
                <w:rFonts w:asciiTheme="minorHAnsi" w:hAnsiTheme="minorHAnsi"/>
                <w:sz w:val="17"/>
                <w:szCs w:val="17"/>
              </w:rPr>
            </w:pPr>
            <w:r w:rsidRPr="00980179">
              <w:rPr>
                <w:rFonts w:asciiTheme="minorHAnsi" w:hAnsiTheme="minorHAnsi" w:cs="Arial"/>
                <w:bCs/>
                <w:iCs/>
                <w:sz w:val="17"/>
                <w:szCs w:val="17"/>
                <w:lang w:val="en-GB"/>
              </w:rPr>
              <w:t xml:space="preserve">Dr Stephen Brady, Head of Medicine on 08 8951 7777 or </w:t>
            </w:r>
            <w:hyperlink r:id="rId9" w:history="1">
              <w:r w:rsidRPr="00980179">
                <w:rPr>
                  <w:rStyle w:val="Hyperlink"/>
                  <w:rFonts w:asciiTheme="minorHAnsi" w:hAnsiTheme="minorHAnsi" w:cs="Arial"/>
                  <w:bCs/>
                  <w:iCs/>
                  <w:sz w:val="17"/>
                  <w:szCs w:val="17"/>
                  <w:lang w:val="en-GB"/>
                </w:rPr>
                <w:t>stephen.brady@nt.gov.au</w:t>
              </w:r>
            </w:hyperlink>
          </w:p>
        </w:tc>
      </w:tr>
      <w:tr w:rsidR="00571FFC" w:rsidRPr="00980179" w:rsidTr="004A559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571FFC" w:rsidRPr="00980179" w:rsidRDefault="006A4FD7" w:rsidP="008921D6">
            <w:pPr>
              <w:spacing w:before="20" w:after="20" w:line="240" w:lineRule="auto"/>
              <w:jc w:val="both"/>
              <w:rPr>
                <w:rFonts w:asciiTheme="minorHAnsi" w:hAnsiTheme="minorHAnsi"/>
                <w:sz w:val="17"/>
                <w:szCs w:val="17"/>
              </w:rPr>
            </w:pPr>
            <w:hyperlink r:id="rId10" w:history="1">
              <w:r w:rsidR="002C74B6" w:rsidRPr="00980179">
                <w:rPr>
                  <w:rStyle w:val="Hyperlink"/>
                  <w:rFonts w:asciiTheme="minorHAnsi" w:hAnsiTheme="minorHAnsi"/>
                  <w:sz w:val="17"/>
                  <w:szCs w:val="17"/>
                </w:rPr>
                <w:t>http://www.health.nt.gov.au/</w:t>
              </w:r>
            </w:hyperlink>
          </w:p>
        </w:tc>
      </w:tr>
      <w:tr w:rsidR="00571FFC" w:rsidRPr="00980179" w:rsidTr="004A5599">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571FFC" w:rsidRPr="00980179" w:rsidRDefault="00571FFC" w:rsidP="008921D6">
            <w:pPr>
              <w:spacing w:before="20" w:after="20" w:line="240" w:lineRule="auto"/>
              <w:jc w:val="both"/>
              <w:rPr>
                <w:rFonts w:asciiTheme="minorHAnsi" w:hAnsiTheme="minorHAnsi" w:cs="Arial"/>
                <w:bCs/>
                <w:iCs/>
                <w:sz w:val="17"/>
                <w:szCs w:val="17"/>
                <w:lang w:val="en-GB"/>
              </w:rPr>
            </w:pPr>
            <w:r w:rsidRPr="00980179">
              <w:rPr>
                <w:rFonts w:asciiTheme="minorHAnsi" w:hAnsiTheme="minorHAnsi"/>
                <w:sz w:val="17"/>
                <w:szCs w:val="17"/>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571FFC" w:rsidRPr="00980179" w:rsidRDefault="006A4FD7" w:rsidP="008921D6">
            <w:pPr>
              <w:spacing w:before="20" w:after="20" w:line="240" w:lineRule="auto"/>
              <w:jc w:val="both"/>
              <w:rPr>
                <w:rFonts w:asciiTheme="minorHAnsi" w:hAnsiTheme="minorHAnsi"/>
                <w:sz w:val="17"/>
                <w:szCs w:val="17"/>
              </w:rPr>
            </w:pPr>
            <w:hyperlink r:id="rId11" w:history="1">
              <w:r w:rsidR="00527310" w:rsidRPr="00980179">
                <w:rPr>
                  <w:rStyle w:val="Hyperlink"/>
                  <w:rFonts w:asciiTheme="minorHAnsi" w:hAnsiTheme="minorHAnsi"/>
                  <w:sz w:val="17"/>
                  <w:szCs w:val="17"/>
                </w:rPr>
                <w:t>https://jobs.nt.gov.au/Home/JobDetails?rtfId=237092</w:t>
              </w:r>
            </w:hyperlink>
            <w:r w:rsidR="00527310" w:rsidRPr="00980179">
              <w:rPr>
                <w:rFonts w:asciiTheme="minorHAnsi" w:hAnsiTheme="minorHAnsi"/>
                <w:sz w:val="17"/>
                <w:szCs w:val="17"/>
              </w:rPr>
              <w:t xml:space="preserve"> </w:t>
            </w:r>
          </w:p>
        </w:tc>
      </w:tr>
      <w:tr w:rsidR="00571FFC" w:rsidRPr="00980179" w:rsidTr="002122A2">
        <w:trPr>
          <w:trHeight w:val="214"/>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571FFC" w:rsidRPr="00980179" w:rsidRDefault="00571FFC" w:rsidP="008921D6">
            <w:pPr>
              <w:pStyle w:val="Heading1"/>
              <w:spacing w:before="20" w:after="20"/>
              <w:jc w:val="both"/>
              <w:outlineLvl w:val="0"/>
              <w:rPr>
                <w:rFonts w:asciiTheme="minorHAnsi" w:hAnsiTheme="minorHAnsi"/>
                <w:sz w:val="17"/>
                <w:szCs w:val="17"/>
              </w:rPr>
            </w:pPr>
            <w:r w:rsidRPr="00980179">
              <w:rPr>
                <w:rFonts w:asciiTheme="minorHAnsi" w:hAnsiTheme="minorHAnsi"/>
                <w:sz w:val="17"/>
                <w:szCs w:val="17"/>
              </w:rPr>
              <w:t xml:space="preserve">Applications must be limited to a one-page summary sheet and detailed resume </w:t>
            </w:r>
          </w:p>
        </w:tc>
      </w:tr>
      <w:tr w:rsidR="00571FFC" w:rsidRPr="00980179" w:rsidTr="004A5599">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646546" w:rsidRPr="00980179" w:rsidRDefault="00646546" w:rsidP="008921D6">
            <w:pPr>
              <w:pStyle w:val="Heading1"/>
              <w:spacing w:before="0"/>
              <w:jc w:val="both"/>
              <w:outlineLvl w:val="0"/>
              <w:rPr>
                <w:rFonts w:asciiTheme="minorHAnsi" w:hAnsiTheme="minorHAnsi"/>
                <w:sz w:val="17"/>
                <w:szCs w:val="17"/>
              </w:rPr>
            </w:pPr>
            <w:r w:rsidRPr="00980179">
              <w:rPr>
                <w:rFonts w:asciiTheme="minorHAnsi" w:hAnsiTheme="minorHAnsi"/>
                <w:sz w:val="17"/>
                <w:szCs w:val="17"/>
              </w:rPr>
              <w:t>Information for applicants – inclusion and diversity and Special Measures recruitment plans</w:t>
            </w:r>
          </w:p>
          <w:p w:rsidR="00646546" w:rsidRPr="00980179" w:rsidRDefault="00646546" w:rsidP="008921D6">
            <w:pPr>
              <w:spacing w:after="20" w:line="240" w:lineRule="auto"/>
              <w:jc w:val="both"/>
              <w:rPr>
                <w:rFonts w:asciiTheme="minorHAnsi" w:hAnsiTheme="minorHAnsi"/>
                <w:sz w:val="17"/>
                <w:szCs w:val="17"/>
              </w:rPr>
            </w:pPr>
            <w:r w:rsidRPr="00980179">
              <w:rPr>
                <w:rFonts w:asciiTheme="minorHAnsi" w:hAnsiTheme="minorHAnsi"/>
                <w:sz w:val="17"/>
                <w:szCs w:val="17"/>
              </w:rPr>
              <w:t xml:space="preserve">The NTPS values diversity.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980179">
                <w:rPr>
                  <w:rStyle w:val="Hyperlink"/>
                  <w:rFonts w:asciiTheme="minorHAnsi" w:hAnsiTheme="minorHAnsi"/>
                  <w:sz w:val="17"/>
                  <w:szCs w:val="17"/>
                </w:rPr>
                <w:t>OCPE website</w:t>
              </w:r>
            </w:hyperlink>
            <w:r w:rsidRPr="00980179">
              <w:rPr>
                <w:rFonts w:asciiTheme="minorHAnsi" w:hAnsiTheme="minorHAnsi"/>
                <w:sz w:val="17"/>
                <w:szCs w:val="17"/>
              </w:rPr>
              <w:t>.</w:t>
            </w:r>
          </w:p>
          <w:p w:rsidR="00571FFC" w:rsidRPr="00980179" w:rsidRDefault="00646546" w:rsidP="008921D6">
            <w:pPr>
              <w:spacing w:line="240" w:lineRule="auto"/>
              <w:jc w:val="both"/>
              <w:rPr>
                <w:rFonts w:asciiTheme="minorHAnsi" w:hAnsiTheme="minorHAnsi"/>
                <w:sz w:val="17"/>
                <w:szCs w:val="17"/>
              </w:rPr>
            </w:pPr>
            <w:r w:rsidRPr="00980179">
              <w:rPr>
                <w:rFonts w:asciiTheme="minorHAnsi" w:hAnsiTheme="minorHAnsi"/>
                <w:sz w:val="17"/>
                <w:szCs w:val="17"/>
              </w:rPr>
              <w:t xml:space="preserve">Under the agency’s Special Measures recruitment plan eligible Aboriginal applicants will be granted priority consideration for this vacancy. For more information on Special Measures plans, go to the </w:t>
            </w:r>
            <w:hyperlink r:id="rId13" w:history="1">
              <w:r w:rsidRPr="00980179">
                <w:rPr>
                  <w:rStyle w:val="Hyperlink"/>
                  <w:rFonts w:asciiTheme="minorHAnsi" w:hAnsiTheme="minorHAnsi"/>
                  <w:sz w:val="17"/>
                  <w:szCs w:val="17"/>
                </w:rPr>
                <w:t>OCPE website</w:t>
              </w:r>
            </w:hyperlink>
            <w:r w:rsidRPr="00980179">
              <w:rPr>
                <w:rFonts w:asciiTheme="minorHAnsi" w:hAnsiTheme="minorHAnsi"/>
                <w:sz w:val="17"/>
                <w:szCs w:val="17"/>
              </w:rPr>
              <w:t>.</w:t>
            </w:r>
          </w:p>
        </w:tc>
      </w:tr>
    </w:tbl>
    <w:p w:rsidR="002942D4" w:rsidRPr="00980179" w:rsidRDefault="003116ED" w:rsidP="008921D6">
      <w:pPr>
        <w:pStyle w:val="Heading1"/>
        <w:spacing w:before="0"/>
        <w:jc w:val="both"/>
        <w:rPr>
          <w:rFonts w:asciiTheme="minorHAnsi" w:hAnsiTheme="minorHAnsi"/>
          <w:sz w:val="17"/>
          <w:szCs w:val="17"/>
        </w:rPr>
      </w:pPr>
      <w:r w:rsidRPr="00980179">
        <w:rPr>
          <w:rFonts w:asciiTheme="minorHAnsi" w:hAnsiTheme="minorHAnsi"/>
          <w:sz w:val="17"/>
          <w:szCs w:val="17"/>
        </w:rPr>
        <w:t xml:space="preserve">Primary </w:t>
      </w:r>
      <w:r w:rsidR="002942D4" w:rsidRPr="00980179">
        <w:rPr>
          <w:rFonts w:asciiTheme="minorHAnsi" w:hAnsiTheme="minorHAnsi"/>
          <w:sz w:val="17"/>
          <w:szCs w:val="17"/>
        </w:rPr>
        <w:t>objective</w:t>
      </w:r>
    </w:p>
    <w:p w:rsidR="00784A4B" w:rsidRPr="00980179" w:rsidRDefault="00EC2C75" w:rsidP="008921D6">
      <w:pPr>
        <w:spacing w:after="0" w:line="240" w:lineRule="auto"/>
        <w:jc w:val="both"/>
        <w:rPr>
          <w:rFonts w:asciiTheme="minorHAnsi" w:hAnsiTheme="minorHAnsi"/>
          <w:sz w:val="17"/>
          <w:szCs w:val="17"/>
        </w:rPr>
      </w:pPr>
      <w:r w:rsidRPr="00980179">
        <w:rPr>
          <w:rFonts w:asciiTheme="minorHAnsi" w:hAnsiTheme="minorHAnsi"/>
          <w:sz w:val="17"/>
          <w:szCs w:val="17"/>
        </w:rPr>
        <w:t>Provide a specialist Rehabilitation service within the Alice Springs Hospital, including the supervision of both inpatient and ambulatory patient care, undertaking supervision and training of advanced trainees in rehabilitation; and a senior management role in the Central Australian Rehabilitation Service</w:t>
      </w:r>
    </w:p>
    <w:p w:rsidR="0015512E" w:rsidRDefault="0015512E" w:rsidP="008921D6">
      <w:pPr>
        <w:pStyle w:val="Heading1"/>
        <w:spacing w:before="0"/>
        <w:jc w:val="both"/>
        <w:rPr>
          <w:rFonts w:asciiTheme="minorHAnsi" w:hAnsiTheme="minorHAnsi"/>
          <w:sz w:val="17"/>
          <w:szCs w:val="17"/>
        </w:rPr>
      </w:pPr>
    </w:p>
    <w:p w:rsidR="002A321B" w:rsidRPr="00980179" w:rsidRDefault="00B84E17" w:rsidP="008921D6">
      <w:pPr>
        <w:pStyle w:val="Heading1"/>
        <w:spacing w:before="0"/>
        <w:jc w:val="both"/>
        <w:rPr>
          <w:rFonts w:asciiTheme="minorHAnsi" w:hAnsiTheme="minorHAnsi"/>
          <w:sz w:val="17"/>
          <w:szCs w:val="17"/>
        </w:rPr>
      </w:pPr>
      <w:r w:rsidRPr="00980179">
        <w:rPr>
          <w:rFonts w:asciiTheme="minorHAnsi" w:hAnsiTheme="minorHAnsi"/>
          <w:sz w:val="17"/>
          <w:szCs w:val="17"/>
        </w:rPr>
        <w:t>Key d</w:t>
      </w:r>
      <w:r w:rsidR="00784A4B" w:rsidRPr="00980179">
        <w:rPr>
          <w:rFonts w:asciiTheme="minorHAnsi" w:hAnsiTheme="minorHAnsi"/>
          <w:sz w:val="17"/>
          <w:szCs w:val="17"/>
        </w:rPr>
        <w:t xml:space="preserve">uties and </w:t>
      </w:r>
      <w:r w:rsidRPr="00980179">
        <w:rPr>
          <w:rFonts w:asciiTheme="minorHAnsi" w:hAnsiTheme="minorHAnsi"/>
          <w:sz w:val="17"/>
          <w:szCs w:val="17"/>
        </w:rPr>
        <w:t>r</w:t>
      </w:r>
      <w:r w:rsidR="00D20905" w:rsidRPr="00980179">
        <w:rPr>
          <w:rFonts w:asciiTheme="minorHAnsi" w:hAnsiTheme="minorHAnsi"/>
          <w:sz w:val="17"/>
          <w:szCs w:val="17"/>
        </w:rPr>
        <w:t>esponsibilities</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Provide care and advice on the management of patients requiring rehabilitation to colleagues both within and outside the specialty, and to those colleagues in geographically isolated centres in the Central Australian Hospital Network area; </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Develop the discipline of Rehabilitation in the Central Australian Health Service (CAHS).</w:t>
      </w:r>
      <w:r w:rsidRPr="002122A2">
        <w:rPr>
          <w:rFonts w:asciiTheme="minorHAnsi" w:hAnsiTheme="minorHAnsi" w:cs="Arial"/>
          <w:vanish/>
          <w:sz w:val="17"/>
          <w:szCs w:val="17"/>
        </w:rPr>
        <w:t>Provide aPro</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Conduct regular inpatient ward rounds and outpatient sessions, incorporating teaching, and provide specialist opinion to referring medical practitioners.</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Liaise with other medical, paramedical and nursing staff and provide input into Unit and Hospital policies, for the ongoing development of specialist rehabilitation services in the CAHS. </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Direct, coordinate, supervise, manage and evaluate the work of subordinate medical staff in the provision of patient care; </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Provide an afterhours consultancy service to colleagues and junior medical staff; </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Participate in continuous medical education including undergraduate and postgraduate teaching, professional development, peer review, research, teaching, quality improvement activities and clinical audits as appropriate;</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Participate and supervise Quality Control and Quality Assurance activities, review and revise policies, procedures and guidelines in line with national and international recommendations;</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Initiate, facilitate and participate in activities associated with patient care and the functioning of the Central Australian Rehabilitation Service (CARS), according to CARS, Alice Springs Hospital (ASH) and NT Department of Health objectives.</w:t>
      </w:r>
    </w:p>
    <w:p w:rsidR="00EC2C75" w:rsidRPr="002122A2" w:rsidRDefault="00EC2C75" w:rsidP="008921D6">
      <w:pPr>
        <w:pStyle w:val="ListParagraph"/>
        <w:numPr>
          <w:ilvl w:val="0"/>
          <w:numId w:val="24"/>
        </w:numPr>
        <w:spacing w:after="0" w:line="240" w:lineRule="auto"/>
        <w:jc w:val="both"/>
        <w:rPr>
          <w:rFonts w:asciiTheme="minorHAnsi" w:hAnsiTheme="minorHAnsi" w:cs="Arial"/>
          <w:sz w:val="17"/>
          <w:szCs w:val="17"/>
        </w:rPr>
      </w:pPr>
      <w:r w:rsidRPr="002122A2">
        <w:rPr>
          <w:rFonts w:asciiTheme="minorHAnsi" w:hAnsiTheme="minorHAnsi" w:cs="Arial"/>
          <w:sz w:val="17"/>
          <w:szCs w:val="17"/>
        </w:rPr>
        <w:t>Develop and implement policies and strategies to deliver Rehabilitation Medicine to Aboriginal patients in a culturally appropriate manner.</w:t>
      </w:r>
    </w:p>
    <w:p w:rsidR="00244A64" w:rsidRPr="002122A2" w:rsidRDefault="00244A64" w:rsidP="008921D6">
      <w:pPr>
        <w:pStyle w:val="ListParagraph"/>
        <w:numPr>
          <w:ilvl w:val="0"/>
          <w:numId w:val="24"/>
        </w:numPr>
        <w:spacing w:after="0" w:line="240" w:lineRule="auto"/>
        <w:contextualSpacing/>
        <w:jc w:val="both"/>
        <w:rPr>
          <w:rFonts w:asciiTheme="minorHAnsi" w:eastAsia="Calibri" w:hAnsiTheme="minorHAnsi" w:cs="Arial"/>
          <w:sz w:val="17"/>
          <w:szCs w:val="17"/>
          <w:lang w:eastAsia="en-US"/>
        </w:rPr>
      </w:pPr>
      <w:r w:rsidRPr="002122A2">
        <w:rPr>
          <w:rFonts w:asciiTheme="minorHAnsi" w:hAnsiTheme="minorHAnsi" w:cs="Arial"/>
          <w:sz w:val="17"/>
          <w:szCs w:val="17"/>
        </w:rPr>
        <w:t>Follow defined service quality standards, work health and safety policies and procedures relating to the work being undertaken in order to ensure high quality, safe services and workplaces</w:t>
      </w:r>
    </w:p>
    <w:p w:rsidR="00C42E9F" w:rsidRPr="002122A2" w:rsidRDefault="00C42E9F" w:rsidP="008921D6">
      <w:pPr>
        <w:pStyle w:val="ListParagraph"/>
        <w:numPr>
          <w:ilvl w:val="0"/>
          <w:numId w:val="24"/>
        </w:numPr>
        <w:spacing w:after="0" w:line="240" w:lineRule="auto"/>
        <w:contextualSpacing/>
        <w:jc w:val="both"/>
        <w:rPr>
          <w:rFonts w:asciiTheme="minorHAnsi" w:eastAsia="Calibri" w:hAnsiTheme="minorHAnsi" w:cs="Arial"/>
          <w:sz w:val="17"/>
          <w:szCs w:val="17"/>
          <w:lang w:eastAsia="en-US"/>
        </w:rPr>
      </w:pPr>
      <w:r w:rsidRPr="002122A2">
        <w:rPr>
          <w:rFonts w:asciiTheme="minorHAnsi" w:hAnsiTheme="minorHAnsi"/>
          <w:sz w:val="17"/>
          <w:szCs w:val="17"/>
        </w:rPr>
        <w:t>Foster a positive workplace culture through exemplary leadership practices and role modelling behaviour.</w:t>
      </w:r>
    </w:p>
    <w:p w:rsidR="0015512E" w:rsidRDefault="0015512E" w:rsidP="008921D6">
      <w:pPr>
        <w:pStyle w:val="Heading1"/>
        <w:spacing w:before="0"/>
        <w:jc w:val="both"/>
        <w:rPr>
          <w:rFonts w:asciiTheme="minorHAnsi" w:hAnsiTheme="minorHAnsi"/>
          <w:sz w:val="17"/>
          <w:szCs w:val="17"/>
        </w:rPr>
      </w:pPr>
    </w:p>
    <w:p w:rsidR="002A321B" w:rsidRPr="00980179" w:rsidRDefault="00B84E17" w:rsidP="008921D6">
      <w:pPr>
        <w:pStyle w:val="Heading1"/>
        <w:spacing w:before="0"/>
        <w:jc w:val="both"/>
        <w:rPr>
          <w:rFonts w:asciiTheme="minorHAnsi" w:hAnsiTheme="minorHAnsi"/>
          <w:sz w:val="17"/>
          <w:szCs w:val="17"/>
        </w:rPr>
      </w:pPr>
      <w:r w:rsidRPr="00980179">
        <w:rPr>
          <w:rFonts w:asciiTheme="minorHAnsi" w:hAnsiTheme="minorHAnsi"/>
          <w:sz w:val="17"/>
          <w:szCs w:val="17"/>
        </w:rPr>
        <w:t>Selection c</w:t>
      </w:r>
      <w:r w:rsidR="00D20905" w:rsidRPr="00980179">
        <w:rPr>
          <w:rFonts w:asciiTheme="minorHAnsi" w:hAnsiTheme="minorHAnsi"/>
          <w:sz w:val="17"/>
          <w:szCs w:val="17"/>
        </w:rPr>
        <w:t>riteria</w:t>
      </w:r>
    </w:p>
    <w:p w:rsidR="005573A3" w:rsidRPr="00980179" w:rsidRDefault="005573A3" w:rsidP="008921D6">
      <w:pPr>
        <w:pStyle w:val="Heading2"/>
        <w:spacing w:before="0"/>
        <w:jc w:val="both"/>
        <w:rPr>
          <w:rFonts w:asciiTheme="minorHAnsi" w:eastAsia="Calibri" w:hAnsiTheme="minorHAnsi" w:cs="Arial"/>
          <w:b/>
          <w:bCs/>
          <w:iCs/>
          <w:color w:val="1F1F5F" w:themeColor="text1"/>
          <w:sz w:val="17"/>
          <w:szCs w:val="17"/>
          <w:lang w:val="en-GB"/>
        </w:rPr>
      </w:pPr>
      <w:r w:rsidRPr="00980179">
        <w:rPr>
          <w:rFonts w:asciiTheme="minorHAnsi" w:eastAsia="Calibri" w:hAnsiTheme="minorHAnsi" w:cs="Arial"/>
          <w:b/>
          <w:bCs/>
          <w:iCs/>
          <w:color w:val="1F1F5F" w:themeColor="text1"/>
          <w:sz w:val="17"/>
          <w:szCs w:val="17"/>
          <w:lang w:val="en-GB"/>
        </w:rPr>
        <w:t>Essential</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Eligible for unconditional specialist registration (Specialist Rehabilitation Physician) through the Australian Health Practitioners Regulation Agency (AHPRA) with the Medical Board of Australia;</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cs="Arial"/>
          <w:sz w:val="17"/>
          <w:szCs w:val="17"/>
          <w:lang w:eastAsia="en-US"/>
        </w:rPr>
        <w:t xml:space="preserve">Appropriate specialist qualifications and Fellowship of the Royal Australasian College of Physicians, or equivalent. </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Excellent interpersonal, oral and written communication skills, and the ability to interact positively as a team member in a cross-cultural work environment;</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Extensive and up to date knowledge of all aspects of rehabilitation medicine, including amputee, spinal, orthopaedic, neurological, and vocational rehabilitation in an inpatient and outpatient setting;</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An understanding of the issues relating to service delivery to clients from a wide range of ethnic origins, in particular Aboriginal patients, and a commitment to improving indigenous health;</w:t>
      </w:r>
    </w:p>
    <w:p w:rsidR="00EC2C75" w:rsidRPr="00980179" w:rsidRDefault="00EC2C75" w:rsidP="008921D6">
      <w:pPr>
        <w:numPr>
          <w:ilvl w:val="0"/>
          <w:numId w:val="18"/>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Evidence of commitment to continuing education, teaching, research and quality assurance activities; Evidence of commitment to the maintenance of the highest professional standards;</w:t>
      </w:r>
    </w:p>
    <w:p w:rsidR="0015512E" w:rsidRDefault="0015512E" w:rsidP="008921D6">
      <w:pPr>
        <w:pStyle w:val="Heading1"/>
        <w:spacing w:before="0"/>
        <w:jc w:val="both"/>
        <w:rPr>
          <w:rFonts w:asciiTheme="minorHAnsi" w:hAnsiTheme="minorHAnsi"/>
          <w:sz w:val="17"/>
          <w:szCs w:val="17"/>
        </w:rPr>
      </w:pPr>
    </w:p>
    <w:p w:rsidR="002A321B" w:rsidRPr="00980179" w:rsidRDefault="00784A4B" w:rsidP="008921D6">
      <w:pPr>
        <w:pStyle w:val="Heading1"/>
        <w:spacing w:before="0"/>
        <w:jc w:val="both"/>
        <w:rPr>
          <w:rFonts w:asciiTheme="minorHAnsi" w:hAnsiTheme="minorHAnsi"/>
          <w:sz w:val="17"/>
          <w:szCs w:val="17"/>
        </w:rPr>
      </w:pPr>
      <w:r w:rsidRPr="00980179">
        <w:rPr>
          <w:rFonts w:asciiTheme="minorHAnsi" w:hAnsiTheme="minorHAnsi"/>
          <w:sz w:val="17"/>
          <w:szCs w:val="17"/>
        </w:rPr>
        <w:t xml:space="preserve">Further </w:t>
      </w:r>
      <w:r w:rsidR="00B84E17" w:rsidRPr="00980179">
        <w:rPr>
          <w:rFonts w:asciiTheme="minorHAnsi" w:hAnsiTheme="minorHAnsi"/>
          <w:sz w:val="17"/>
          <w:szCs w:val="17"/>
        </w:rPr>
        <w:t>i</w:t>
      </w:r>
      <w:r w:rsidR="00D20905" w:rsidRPr="00980179">
        <w:rPr>
          <w:rFonts w:asciiTheme="minorHAnsi" w:hAnsiTheme="minorHAnsi"/>
          <w:sz w:val="17"/>
          <w:szCs w:val="17"/>
        </w:rPr>
        <w:t>nformation</w:t>
      </w:r>
    </w:p>
    <w:p w:rsidR="002122A2" w:rsidRDefault="00094FC8" w:rsidP="008921D6">
      <w:pPr>
        <w:spacing w:line="240" w:lineRule="auto"/>
        <w:jc w:val="both"/>
        <w:rPr>
          <w:rFonts w:asciiTheme="minorHAnsi" w:hAnsiTheme="minorHAnsi"/>
          <w:sz w:val="17"/>
          <w:szCs w:val="17"/>
        </w:rPr>
      </w:pPr>
      <w:r w:rsidRPr="00980179">
        <w:rPr>
          <w:rFonts w:asciiTheme="minorHAnsi" w:hAnsiTheme="minorHAnsi"/>
          <w:b/>
          <w:sz w:val="17"/>
          <w:szCs w:val="17"/>
        </w:rPr>
        <w:t>NTPS employees subject to CHO Directions No. 41 of 2022 requires workers in high risk places to have received their third dose (booster) by 11 March 2022 and CHO Directions 52/2022 now requires remaining employees to have received their third dose (booster) by 22 April 2022 (except where a medical exemption is granted).</w:t>
      </w:r>
      <w:r w:rsidRPr="00980179">
        <w:rPr>
          <w:rFonts w:asciiTheme="minorHAnsi" w:hAnsiTheme="minorHAnsi"/>
          <w:sz w:val="17"/>
          <w:szCs w:val="17"/>
        </w:rPr>
        <w:t xml:space="preserve"> </w:t>
      </w:r>
    </w:p>
    <w:p w:rsidR="0005333A" w:rsidRPr="00980179" w:rsidRDefault="0005333A" w:rsidP="008921D6">
      <w:pPr>
        <w:spacing w:after="0" w:line="240" w:lineRule="auto"/>
        <w:jc w:val="both"/>
        <w:rPr>
          <w:rFonts w:asciiTheme="minorHAnsi" w:hAnsiTheme="minorHAnsi"/>
          <w:sz w:val="17"/>
          <w:szCs w:val="17"/>
        </w:rPr>
      </w:pPr>
      <w:r w:rsidRPr="00980179">
        <w:rPr>
          <w:rFonts w:asciiTheme="minorHAnsi" w:hAnsiTheme="minorHAnsi"/>
          <w:sz w:val="17"/>
          <w:szCs w:val="17"/>
        </w:rPr>
        <w:t>Positions may be subject to pre-employment checks such as immunisation requirements, working with children clearance notice and criminal history checks. A criminal history will not exclude an applicant from this position unless it is a relevant criminal history. For immunisation requirements - Category A (direct contact with blood or body substances) or Category B (indirect contact with blood or body substances),</w:t>
      </w:r>
      <w:r w:rsidR="00862445" w:rsidRPr="00980179">
        <w:rPr>
          <w:rFonts w:asciiTheme="minorHAnsi" w:hAnsiTheme="minorHAnsi"/>
          <w:sz w:val="17"/>
          <w:szCs w:val="17"/>
        </w:rPr>
        <w:t xml:space="preserve"> check </w:t>
      </w:r>
      <w:r w:rsidR="00633F4F" w:rsidRPr="00980179">
        <w:rPr>
          <w:rFonts w:asciiTheme="minorHAnsi" w:hAnsiTheme="minorHAnsi"/>
          <w:sz w:val="17"/>
          <w:szCs w:val="17"/>
        </w:rPr>
        <w:t>with contact person</w:t>
      </w:r>
      <w:r w:rsidR="00094FC8" w:rsidRPr="00980179">
        <w:rPr>
          <w:rFonts w:asciiTheme="minorHAnsi" w:hAnsiTheme="minorHAnsi"/>
          <w:sz w:val="17"/>
          <w:szCs w:val="17"/>
        </w:rPr>
        <w:t xml:space="preserve"> for requirements</w:t>
      </w:r>
      <w:r w:rsidR="00E92757" w:rsidRPr="00980179">
        <w:rPr>
          <w:rFonts w:asciiTheme="minorHAnsi" w:hAnsiTheme="minorHAnsi"/>
          <w:sz w:val="17"/>
          <w:szCs w:val="17"/>
        </w:rPr>
        <w:t>.</w:t>
      </w:r>
    </w:p>
    <w:p w:rsidR="0015512E" w:rsidRDefault="0015512E" w:rsidP="008921D6">
      <w:pPr>
        <w:tabs>
          <w:tab w:val="clear" w:pos="4136"/>
          <w:tab w:val="right" w:pos="10773"/>
        </w:tabs>
        <w:spacing w:after="0" w:line="240" w:lineRule="auto"/>
        <w:jc w:val="both"/>
        <w:rPr>
          <w:rFonts w:asciiTheme="minorHAnsi" w:hAnsiTheme="minorHAnsi"/>
          <w:b/>
          <w:sz w:val="17"/>
          <w:szCs w:val="17"/>
        </w:rPr>
      </w:pPr>
    </w:p>
    <w:p w:rsidR="00527310" w:rsidRPr="00980179" w:rsidRDefault="00694FEA" w:rsidP="008921D6">
      <w:pPr>
        <w:tabs>
          <w:tab w:val="clear" w:pos="4136"/>
          <w:tab w:val="right" w:pos="10773"/>
        </w:tabs>
        <w:spacing w:after="0" w:line="240" w:lineRule="auto"/>
        <w:jc w:val="both"/>
        <w:rPr>
          <w:rFonts w:asciiTheme="minorHAnsi" w:hAnsiTheme="minorHAnsi"/>
          <w:sz w:val="17"/>
          <w:szCs w:val="17"/>
        </w:rPr>
      </w:pPr>
      <w:r w:rsidRPr="00980179">
        <w:rPr>
          <w:rFonts w:asciiTheme="minorHAnsi" w:hAnsiTheme="minorHAnsi"/>
          <w:b/>
          <w:sz w:val="17"/>
          <w:szCs w:val="17"/>
        </w:rPr>
        <w:t>Approved:</w:t>
      </w:r>
      <w:r w:rsidRPr="00980179">
        <w:rPr>
          <w:rFonts w:asciiTheme="minorHAnsi" w:hAnsiTheme="minorHAnsi"/>
          <w:sz w:val="17"/>
          <w:szCs w:val="17"/>
        </w:rPr>
        <w:t xml:space="preserve"> </w:t>
      </w:r>
      <w:r w:rsidR="00244A64" w:rsidRPr="00980179">
        <w:rPr>
          <w:rFonts w:asciiTheme="minorHAnsi" w:hAnsiTheme="minorHAnsi"/>
          <w:sz w:val="17"/>
          <w:szCs w:val="17"/>
        </w:rPr>
        <w:t>March 2022</w:t>
      </w:r>
      <w:r w:rsidRPr="00980179">
        <w:rPr>
          <w:rFonts w:asciiTheme="minorHAnsi" w:hAnsiTheme="minorHAnsi"/>
          <w:sz w:val="17"/>
          <w:szCs w:val="17"/>
        </w:rPr>
        <w:tab/>
      </w:r>
      <w:r w:rsidR="00244A64" w:rsidRPr="00980179">
        <w:rPr>
          <w:rFonts w:asciiTheme="minorHAnsi" w:hAnsiTheme="minorHAnsi"/>
          <w:sz w:val="17"/>
          <w:szCs w:val="17"/>
        </w:rPr>
        <w:t>Dr Samuel Goodwin, Executive Director Medical and Clinical Services</w:t>
      </w:r>
    </w:p>
    <w:p w:rsidR="002122A2" w:rsidRPr="00980179" w:rsidRDefault="00527310" w:rsidP="008921D6">
      <w:pPr>
        <w:tabs>
          <w:tab w:val="clear" w:pos="4136"/>
          <w:tab w:val="right" w:pos="10773"/>
        </w:tabs>
        <w:spacing w:after="0" w:line="240" w:lineRule="auto"/>
        <w:jc w:val="both"/>
        <w:rPr>
          <w:rFonts w:asciiTheme="minorHAnsi" w:hAnsiTheme="minorHAnsi"/>
          <w:sz w:val="17"/>
          <w:szCs w:val="17"/>
        </w:rPr>
      </w:pPr>
      <w:r w:rsidRPr="00980179">
        <w:rPr>
          <w:rFonts w:asciiTheme="minorHAnsi" w:hAnsiTheme="minorHAnsi"/>
          <w:sz w:val="17"/>
          <w:szCs w:val="17"/>
        </w:rPr>
        <w:br w:type="column"/>
      </w:r>
    </w:p>
    <w:tbl>
      <w:tblPr>
        <w:tblStyle w:val="TableGridLight"/>
        <w:tblpPr w:leftFromText="180" w:rightFromText="180" w:vertAnchor="text" w:horzAnchor="margin" w:tblpYSpec="center"/>
        <w:tblW w:w="10773"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Pr>
      <w:tblGrid>
        <w:gridCol w:w="1838"/>
        <w:gridCol w:w="1673"/>
        <w:gridCol w:w="709"/>
        <w:gridCol w:w="1164"/>
        <w:gridCol w:w="1423"/>
        <w:gridCol w:w="3966"/>
      </w:tblGrid>
      <w:tr w:rsidR="002122A2" w:rsidRPr="00980179" w:rsidTr="002122A2">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Department of Health</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Work unit</w:t>
            </w:r>
          </w:p>
        </w:tc>
        <w:tc>
          <w:tcPr>
            <w:tcW w:w="3966" w:type="dxa"/>
            <w:tcBorders>
              <w:top w:val="single" w:sz="4" w:space="0" w:color="1F1F5F" w:themeColor="text1"/>
              <w:lef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Department of Medicine</w:t>
            </w:r>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General Physician - </w:t>
            </w:r>
            <w:r w:rsidRPr="00980179">
              <w:rPr>
                <w:rFonts w:asciiTheme="minorHAnsi" w:hAnsiTheme="minorHAnsi" w:cs="Arial"/>
                <w:sz w:val="17"/>
                <w:szCs w:val="17"/>
              </w:rPr>
              <w:t>Rehabilitation</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Designation</w:t>
            </w:r>
          </w:p>
        </w:tc>
        <w:tc>
          <w:tcPr>
            <w:tcW w:w="3966" w:type="dxa"/>
            <w:tcBorders>
              <w:lef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Senior Specialist Clinician SMO2.1 to SMO2.3</w:t>
            </w:r>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Pr>
                <w:rFonts w:asciiTheme="minorHAnsi" w:hAnsiTheme="minorHAnsi"/>
                <w:sz w:val="17"/>
                <w:szCs w:val="17"/>
              </w:rPr>
              <w:t>Full T</w:t>
            </w:r>
            <w:r w:rsidRPr="00980179">
              <w:rPr>
                <w:rFonts w:asciiTheme="minorHAnsi" w:hAnsiTheme="minorHAnsi"/>
                <w:sz w:val="17"/>
                <w:szCs w:val="17"/>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Duration</w:t>
            </w:r>
          </w:p>
        </w:tc>
        <w:tc>
          <w:tcPr>
            <w:tcW w:w="3966" w:type="dxa"/>
            <w:tcBorders>
              <w:lef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Fixed for 5 years </w:t>
            </w:r>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$239,920 - $265,395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Location</w:t>
            </w:r>
          </w:p>
        </w:tc>
        <w:tc>
          <w:tcPr>
            <w:tcW w:w="3966" w:type="dxa"/>
            <w:tcBorders>
              <w:lef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 xml:space="preserve">Alice Springs </w:t>
            </w:r>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39405</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237092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r w:rsidRPr="00980179">
              <w:rPr>
                <w:rFonts w:asciiTheme="minorHAnsi" w:hAnsiTheme="minorHAnsi"/>
                <w:sz w:val="17"/>
                <w:szCs w:val="17"/>
              </w:rPr>
              <w:t>18/04/2022</w:t>
            </w:r>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rPr>
            </w:pPr>
            <w:bookmarkStart w:id="0" w:name="_GoBack"/>
            <w:r w:rsidRPr="00980179">
              <w:rPr>
                <w:rFonts w:asciiTheme="minorHAnsi" w:hAnsiTheme="minorHAnsi" w:cs="Arial"/>
                <w:bCs/>
                <w:iCs/>
                <w:sz w:val="17"/>
                <w:szCs w:val="17"/>
                <w:lang w:val="en-GB"/>
              </w:rPr>
              <w:t xml:space="preserve">Dr Stephen Brady, Head of Medicine on 08 8951 7777 or </w:t>
            </w:r>
            <w:hyperlink r:id="rId14" w:history="1">
              <w:r w:rsidRPr="00980179">
                <w:rPr>
                  <w:rStyle w:val="Hyperlink"/>
                  <w:rFonts w:asciiTheme="minorHAnsi" w:hAnsiTheme="minorHAnsi" w:cs="Arial"/>
                  <w:bCs/>
                  <w:iCs/>
                  <w:sz w:val="17"/>
                  <w:szCs w:val="17"/>
                  <w:lang w:val="en-GB"/>
                </w:rPr>
                <w:t>stephen.brady@nt.gov.au</w:t>
              </w:r>
            </w:hyperlink>
            <w:bookmarkEnd w:id="0"/>
          </w:p>
        </w:tc>
      </w:tr>
      <w:tr w:rsidR="002122A2" w:rsidRPr="00980179" w:rsidTr="002122A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sz w:val="17"/>
                <w:szCs w:val="17"/>
                <w:lang w:val="en-GB"/>
              </w:rPr>
            </w:pPr>
            <w:r w:rsidRPr="00980179">
              <w:rPr>
                <w:rFonts w:asciiTheme="minorHAnsi" w:hAnsiTheme="minorHAnsi"/>
                <w:sz w:val="17"/>
                <w:szCs w:val="17"/>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2122A2" w:rsidRPr="00980179" w:rsidRDefault="006A4FD7" w:rsidP="008921D6">
            <w:pPr>
              <w:spacing w:before="20" w:after="20" w:line="240" w:lineRule="auto"/>
              <w:jc w:val="both"/>
              <w:rPr>
                <w:rFonts w:asciiTheme="minorHAnsi" w:hAnsiTheme="minorHAnsi"/>
                <w:sz w:val="17"/>
                <w:szCs w:val="17"/>
              </w:rPr>
            </w:pPr>
            <w:hyperlink r:id="rId15" w:history="1">
              <w:r w:rsidR="002122A2" w:rsidRPr="00980179">
                <w:rPr>
                  <w:rStyle w:val="Hyperlink"/>
                  <w:rFonts w:asciiTheme="minorHAnsi" w:hAnsiTheme="minorHAnsi"/>
                  <w:sz w:val="17"/>
                  <w:szCs w:val="17"/>
                </w:rPr>
                <w:t>http://www.health.nt.gov.au/</w:t>
              </w:r>
            </w:hyperlink>
          </w:p>
        </w:tc>
      </w:tr>
      <w:tr w:rsidR="002122A2" w:rsidRPr="00980179" w:rsidTr="002122A2">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2122A2" w:rsidRPr="00980179" w:rsidRDefault="002122A2" w:rsidP="008921D6">
            <w:pPr>
              <w:spacing w:before="20" w:after="20" w:line="240" w:lineRule="auto"/>
              <w:jc w:val="both"/>
              <w:rPr>
                <w:rFonts w:asciiTheme="minorHAnsi" w:hAnsiTheme="minorHAnsi" w:cs="Arial"/>
                <w:bCs/>
                <w:iCs/>
                <w:sz w:val="17"/>
                <w:szCs w:val="17"/>
                <w:lang w:val="en-GB"/>
              </w:rPr>
            </w:pPr>
            <w:r w:rsidRPr="00980179">
              <w:rPr>
                <w:rFonts w:asciiTheme="minorHAnsi" w:hAnsiTheme="minorHAnsi"/>
                <w:sz w:val="17"/>
                <w:szCs w:val="17"/>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2122A2" w:rsidRPr="00980179" w:rsidRDefault="006A4FD7" w:rsidP="008921D6">
            <w:pPr>
              <w:spacing w:before="20" w:after="20" w:line="240" w:lineRule="auto"/>
              <w:jc w:val="both"/>
              <w:rPr>
                <w:rFonts w:asciiTheme="minorHAnsi" w:hAnsiTheme="minorHAnsi"/>
                <w:sz w:val="17"/>
                <w:szCs w:val="17"/>
              </w:rPr>
            </w:pPr>
            <w:hyperlink r:id="rId16" w:history="1">
              <w:r w:rsidR="002122A2" w:rsidRPr="00980179">
                <w:rPr>
                  <w:rStyle w:val="Hyperlink"/>
                  <w:rFonts w:asciiTheme="minorHAnsi" w:hAnsiTheme="minorHAnsi"/>
                  <w:sz w:val="17"/>
                  <w:szCs w:val="17"/>
                </w:rPr>
                <w:t>https://jobs.nt.gov.au/Home/JobDetails?rtfId=237092</w:t>
              </w:r>
            </w:hyperlink>
            <w:r w:rsidR="002122A2" w:rsidRPr="00980179">
              <w:rPr>
                <w:rFonts w:asciiTheme="minorHAnsi" w:hAnsiTheme="minorHAnsi"/>
                <w:sz w:val="17"/>
                <w:szCs w:val="17"/>
              </w:rPr>
              <w:t xml:space="preserve"> </w:t>
            </w:r>
          </w:p>
        </w:tc>
      </w:tr>
      <w:tr w:rsidR="002122A2" w:rsidRPr="00980179" w:rsidTr="002122A2">
        <w:trPr>
          <w:trHeight w:val="200"/>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2122A2" w:rsidRPr="00980179" w:rsidRDefault="002122A2" w:rsidP="008921D6">
            <w:pPr>
              <w:pStyle w:val="Heading1"/>
              <w:spacing w:before="20" w:after="20"/>
              <w:jc w:val="both"/>
              <w:outlineLvl w:val="0"/>
              <w:rPr>
                <w:rFonts w:asciiTheme="minorHAnsi" w:hAnsiTheme="minorHAnsi"/>
                <w:sz w:val="17"/>
                <w:szCs w:val="17"/>
              </w:rPr>
            </w:pPr>
            <w:r w:rsidRPr="00980179">
              <w:rPr>
                <w:rFonts w:asciiTheme="minorHAnsi" w:hAnsiTheme="minorHAnsi"/>
                <w:sz w:val="17"/>
                <w:szCs w:val="17"/>
              </w:rPr>
              <w:t xml:space="preserve">Applications must be limited to a one-page summary sheet and detailed resume </w:t>
            </w:r>
          </w:p>
        </w:tc>
      </w:tr>
      <w:tr w:rsidR="002122A2" w:rsidRPr="00980179" w:rsidTr="002122A2">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2122A2" w:rsidRPr="00980179" w:rsidRDefault="002122A2" w:rsidP="008921D6">
            <w:pPr>
              <w:pStyle w:val="Heading1"/>
              <w:spacing w:before="20"/>
              <w:outlineLvl w:val="0"/>
              <w:rPr>
                <w:rFonts w:asciiTheme="minorHAnsi" w:hAnsiTheme="minorHAnsi"/>
                <w:sz w:val="17"/>
                <w:szCs w:val="17"/>
              </w:rPr>
            </w:pPr>
            <w:r w:rsidRPr="00980179">
              <w:rPr>
                <w:rFonts w:asciiTheme="minorHAnsi" w:hAnsiTheme="minorHAnsi"/>
                <w:sz w:val="17"/>
                <w:szCs w:val="17"/>
              </w:rPr>
              <w:t>Information for applicants – inclusion and diversity and Special Measures recruitment plans</w:t>
            </w:r>
          </w:p>
          <w:p w:rsidR="002122A2" w:rsidRPr="00980179" w:rsidRDefault="002122A2" w:rsidP="008921D6">
            <w:pPr>
              <w:spacing w:after="20" w:line="240" w:lineRule="auto"/>
              <w:jc w:val="both"/>
              <w:rPr>
                <w:rFonts w:asciiTheme="minorHAnsi" w:hAnsiTheme="minorHAnsi"/>
                <w:sz w:val="17"/>
                <w:szCs w:val="17"/>
              </w:rPr>
            </w:pPr>
            <w:r w:rsidRPr="00980179">
              <w:rPr>
                <w:rFonts w:asciiTheme="minorHAnsi" w:hAnsiTheme="minorHAnsi"/>
                <w:sz w:val="17"/>
                <w:szCs w:val="17"/>
              </w:rPr>
              <w:t xml:space="preserve">The NTPS values diversity.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7" w:history="1">
              <w:r w:rsidRPr="00980179">
                <w:rPr>
                  <w:rStyle w:val="Hyperlink"/>
                  <w:rFonts w:asciiTheme="minorHAnsi" w:hAnsiTheme="minorHAnsi"/>
                  <w:sz w:val="17"/>
                  <w:szCs w:val="17"/>
                </w:rPr>
                <w:t>OCPE website</w:t>
              </w:r>
            </w:hyperlink>
            <w:r w:rsidRPr="00980179">
              <w:rPr>
                <w:rFonts w:asciiTheme="minorHAnsi" w:hAnsiTheme="minorHAnsi"/>
                <w:sz w:val="17"/>
                <w:szCs w:val="17"/>
              </w:rPr>
              <w:t>.</w:t>
            </w:r>
          </w:p>
          <w:p w:rsidR="002122A2" w:rsidRPr="00980179" w:rsidRDefault="002122A2" w:rsidP="008921D6">
            <w:pPr>
              <w:spacing w:line="240" w:lineRule="auto"/>
              <w:jc w:val="both"/>
              <w:rPr>
                <w:rFonts w:asciiTheme="minorHAnsi" w:hAnsiTheme="minorHAnsi"/>
                <w:sz w:val="17"/>
                <w:szCs w:val="17"/>
              </w:rPr>
            </w:pPr>
            <w:r w:rsidRPr="00980179">
              <w:rPr>
                <w:rFonts w:asciiTheme="minorHAnsi" w:hAnsiTheme="minorHAnsi"/>
                <w:sz w:val="17"/>
                <w:szCs w:val="17"/>
              </w:rPr>
              <w:t xml:space="preserve">Under the agency’s Special Measures recruitment plan eligible Aboriginal applicants will be granted priority consideration for this vacancy. For more information on Special Measures plans, go to the </w:t>
            </w:r>
            <w:hyperlink r:id="rId18" w:history="1">
              <w:r w:rsidRPr="00980179">
                <w:rPr>
                  <w:rStyle w:val="Hyperlink"/>
                  <w:rFonts w:asciiTheme="minorHAnsi" w:hAnsiTheme="minorHAnsi"/>
                  <w:sz w:val="17"/>
                  <w:szCs w:val="17"/>
                </w:rPr>
                <w:t>OCPE website</w:t>
              </w:r>
            </w:hyperlink>
            <w:r w:rsidRPr="00980179">
              <w:rPr>
                <w:rFonts w:asciiTheme="minorHAnsi" w:hAnsiTheme="minorHAnsi"/>
                <w:sz w:val="17"/>
                <w:szCs w:val="17"/>
              </w:rPr>
              <w:t>.</w:t>
            </w:r>
          </w:p>
        </w:tc>
      </w:tr>
    </w:tbl>
    <w:p w:rsidR="00527310" w:rsidRPr="00980179" w:rsidRDefault="00527310" w:rsidP="008921D6">
      <w:pPr>
        <w:pStyle w:val="Heading1"/>
        <w:spacing w:before="0"/>
        <w:jc w:val="both"/>
        <w:rPr>
          <w:rFonts w:asciiTheme="minorHAnsi" w:hAnsiTheme="minorHAnsi"/>
          <w:sz w:val="17"/>
          <w:szCs w:val="17"/>
        </w:rPr>
      </w:pPr>
      <w:r w:rsidRPr="00980179">
        <w:rPr>
          <w:rFonts w:asciiTheme="minorHAnsi" w:hAnsiTheme="minorHAnsi"/>
          <w:sz w:val="17"/>
          <w:szCs w:val="17"/>
        </w:rPr>
        <w:t>Primary objective</w:t>
      </w:r>
    </w:p>
    <w:p w:rsidR="0015512E" w:rsidRDefault="00527310" w:rsidP="008921D6">
      <w:pPr>
        <w:spacing w:after="0" w:line="240" w:lineRule="auto"/>
        <w:jc w:val="both"/>
        <w:rPr>
          <w:rFonts w:asciiTheme="minorHAnsi" w:hAnsiTheme="minorHAnsi"/>
          <w:sz w:val="17"/>
          <w:szCs w:val="17"/>
        </w:rPr>
      </w:pPr>
      <w:r w:rsidRPr="00980179">
        <w:rPr>
          <w:rFonts w:asciiTheme="minorHAnsi" w:hAnsiTheme="minorHAnsi"/>
          <w:sz w:val="17"/>
          <w:szCs w:val="17"/>
        </w:rPr>
        <w:t>Provide a specialist Rehabilitation service within the Alice Springs Hospital, including the supervision of both inpatient and ambulatory patient care, undertaking supervision and training of advanced trainees in rehabilitation; and a senior management role in the Central Australian Rehabilitation Service</w:t>
      </w:r>
    </w:p>
    <w:p w:rsidR="00527310" w:rsidRPr="00980179" w:rsidRDefault="00527310" w:rsidP="008921D6">
      <w:pPr>
        <w:pStyle w:val="Heading1"/>
        <w:spacing w:before="160"/>
        <w:jc w:val="both"/>
        <w:rPr>
          <w:rFonts w:asciiTheme="minorHAnsi" w:hAnsiTheme="minorHAnsi"/>
          <w:sz w:val="17"/>
          <w:szCs w:val="17"/>
        </w:rPr>
      </w:pPr>
      <w:r w:rsidRPr="00980179">
        <w:rPr>
          <w:rFonts w:asciiTheme="minorHAnsi" w:hAnsiTheme="minorHAnsi"/>
          <w:sz w:val="17"/>
          <w:szCs w:val="17"/>
        </w:rPr>
        <w:t>Key duties and responsibilities</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Provide care and advice on the management of patients requiring rehabilitation to colleagues both within and outside the specialty, and to those colleagues in geographically isolated centres in the Central Australian Hospital Network area; </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Develop the discipline of Rehabilitation in the Central Australian Health Service (CAHS).</w:t>
      </w:r>
      <w:r w:rsidR="004B5563" w:rsidRPr="002122A2">
        <w:rPr>
          <w:rFonts w:asciiTheme="minorHAnsi" w:hAnsiTheme="minorHAnsi" w:cs="Arial"/>
          <w:sz w:val="17"/>
          <w:szCs w:val="17"/>
        </w:rPr>
        <w:t xml:space="preserve"> </w:t>
      </w:r>
      <w:r w:rsidRPr="002122A2">
        <w:rPr>
          <w:rFonts w:asciiTheme="minorHAnsi" w:hAnsiTheme="minorHAnsi" w:cs="Arial"/>
          <w:vanish/>
          <w:sz w:val="17"/>
          <w:szCs w:val="17"/>
        </w:rPr>
        <w:t>Provide aPro</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Conduct regular inpatient ward rounds and outpatient sessions, incorporating teaching, and provide specialist opinion to referring medical practitioners.</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Liaise with other medical, paramedical and nursing staff and provide input into Unit and Hospital policies, for the ongoing development of specialist rehabilitation services in the CAHS. </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Direct, coordinate, supervise, manage and evaluate the work of subordinate medical staff in the provision of patient care; </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 xml:space="preserve">Provide an afterhours consultancy service to colleagues and junior medical staff; </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Participate in continuous medical education including undergraduate and postgraduate teaching, professional development, peer review, research, teaching, quality improvement activities and clinical audits as appropriate;</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Participate and supervise Quality Control and Quality Assurance activities, review and revise policies, procedures and guidelines in line with national and international recommendations;</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Initiate, facilitate and participate in activities associated with patient care and the functioning of the Central Australian Rehabilitation Service (CARS), according to CARS, Alice Springs Hospital (ASH) and NT Department of Health objectives.</w:t>
      </w:r>
    </w:p>
    <w:p w:rsidR="00527310" w:rsidRPr="002122A2" w:rsidRDefault="00527310" w:rsidP="008921D6">
      <w:pPr>
        <w:pStyle w:val="ListParagraph"/>
        <w:numPr>
          <w:ilvl w:val="0"/>
          <w:numId w:val="25"/>
        </w:numPr>
        <w:spacing w:after="0" w:line="240" w:lineRule="auto"/>
        <w:jc w:val="both"/>
        <w:rPr>
          <w:rFonts w:asciiTheme="minorHAnsi" w:hAnsiTheme="minorHAnsi" w:cs="Arial"/>
          <w:sz w:val="17"/>
          <w:szCs w:val="17"/>
        </w:rPr>
      </w:pPr>
      <w:r w:rsidRPr="002122A2">
        <w:rPr>
          <w:rFonts w:asciiTheme="minorHAnsi" w:hAnsiTheme="minorHAnsi" w:cs="Arial"/>
          <w:sz w:val="17"/>
          <w:szCs w:val="17"/>
        </w:rPr>
        <w:t>Develop and implement policies and strategies to deliver Rehabilitation Medicine to Aboriginal patients in a culturally appropriate manner.</w:t>
      </w:r>
    </w:p>
    <w:p w:rsidR="00527310" w:rsidRPr="002122A2" w:rsidRDefault="00527310" w:rsidP="008921D6">
      <w:pPr>
        <w:pStyle w:val="ListParagraph"/>
        <w:numPr>
          <w:ilvl w:val="0"/>
          <w:numId w:val="25"/>
        </w:numPr>
        <w:spacing w:after="0" w:line="240" w:lineRule="auto"/>
        <w:contextualSpacing/>
        <w:jc w:val="both"/>
        <w:rPr>
          <w:rFonts w:asciiTheme="minorHAnsi" w:eastAsia="Calibri" w:hAnsiTheme="minorHAnsi" w:cs="Arial"/>
          <w:sz w:val="17"/>
          <w:szCs w:val="17"/>
          <w:lang w:eastAsia="en-US"/>
        </w:rPr>
      </w:pPr>
      <w:r w:rsidRPr="002122A2">
        <w:rPr>
          <w:rFonts w:asciiTheme="minorHAnsi" w:hAnsiTheme="minorHAnsi" w:cs="Arial"/>
          <w:sz w:val="17"/>
          <w:szCs w:val="17"/>
        </w:rPr>
        <w:t>Follow defined service quality standards, work health and safety policies and procedures relating to the work being undertaken in order to ensure high quality, safe services and workplaces</w:t>
      </w:r>
    </w:p>
    <w:p w:rsidR="0015512E" w:rsidRPr="00046617" w:rsidRDefault="00527310" w:rsidP="008921D6">
      <w:pPr>
        <w:pStyle w:val="ListParagraph"/>
        <w:numPr>
          <w:ilvl w:val="0"/>
          <w:numId w:val="25"/>
        </w:numPr>
        <w:spacing w:after="0" w:line="240" w:lineRule="auto"/>
        <w:contextualSpacing/>
        <w:jc w:val="both"/>
        <w:rPr>
          <w:rFonts w:asciiTheme="minorHAnsi" w:eastAsia="Calibri" w:hAnsiTheme="minorHAnsi" w:cs="Arial"/>
          <w:sz w:val="17"/>
          <w:szCs w:val="17"/>
          <w:lang w:eastAsia="en-US"/>
        </w:rPr>
      </w:pPr>
      <w:r w:rsidRPr="002122A2">
        <w:rPr>
          <w:rFonts w:asciiTheme="minorHAnsi" w:hAnsiTheme="minorHAnsi"/>
          <w:sz w:val="17"/>
          <w:szCs w:val="17"/>
        </w:rPr>
        <w:t>Foster a positive workplace culture through exemplary leadership practices and role modelling behaviour.</w:t>
      </w:r>
    </w:p>
    <w:p w:rsidR="00527310" w:rsidRPr="00980179" w:rsidRDefault="00527310" w:rsidP="008921D6">
      <w:pPr>
        <w:pStyle w:val="Heading1"/>
        <w:spacing w:before="160"/>
        <w:jc w:val="both"/>
        <w:rPr>
          <w:rFonts w:asciiTheme="minorHAnsi" w:hAnsiTheme="minorHAnsi"/>
          <w:sz w:val="17"/>
          <w:szCs w:val="17"/>
        </w:rPr>
      </w:pPr>
      <w:r w:rsidRPr="00980179">
        <w:rPr>
          <w:rFonts w:asciiTheme="minorHAnsi" w:hAnsiTheme="minorHAnsi"/>
          <w:sz w:val="17"/>
          <w:szCs w:val="17"/>
        </w:rPr>
        <w:t>Selection criteria</w:t>
      </w:r>
    </w:p>
    <w:p w:rsidR="00527310" w:rsidRPr="00980179" w:rsidRDefault="00527310" w:rsidP="008921D6">
      <w:pPr>
        <w:pStyle w:val="Heading2"/>
        <w:spacing w:before="0"/>
        <w:jc w:val="both"/>
        <w:rPr>
          <w:rFonts w:asciiTheme="minorHAnsi" w:hAnsiTheme="minorHAnsi"/>
          <w:sz w:val="17"/>
          <w:szCs w:val="17"/>
        </w:rPr>
      </w:pPr>
      <w:r w:rsidRPr="00980179">
        <w:rPr>
          <w:rFonts w:asciiTheme="minorHAnsi" w:eastAsia="Calibri" w:hAnsiTheme="minorHAnsi" w:cs="Arial"/>
          <w:b/>
          <w:bCs/>
          <w:iCs/>
          <w:color w:val="1F1F5F" w:themeColor="text1"/>
          <w:sz w:val="17"/>
          <w:szCs w:val="17"/>
          <w:lang w:val="en-GB"/>
        </w:rPr>
        <w:t>Essential</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Eligible for unconditional specialist registration (Specialist Rehabilitation Physician) through the Australian Health Practitioners Regulation Agency (AHPRA) with the Medical Board of Australia;</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cs="Arial"/>
          <w:sz w:val="17"/>
          <w:szCs w:val="17"/>
          <w:lang w:eastAsia="en-US"/>
        </w:rPr>
        <w:t xml:space="preserve">Appropriate specialist qualifications and Fellowship of the Royal Australasian College of Physicians, or equivalent. </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cs="Arial"/>
          <w:sz w:val="17"/>
          <w:szCs w:val="17"/>
          <w:lang w:eastAsia="en-US"/>
        </w:rPr>
        <w:t>Equivalent of at least 6 years of full time service in medical practice as a Specialist.</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Excellent interpersonal, oral and written communication skills, and the ability to interact positively as a team member in a cross-cultural work environment;</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Extensive and up to date knowledge of all aspects of rehabilitation medicine, including amputee, spinal, orthopaedic, neurological, and vocational rehabilitation in an inpatient and outpatient setting;</w:t>
      </w:r>
    </w:p>
    <w:p w:rsidR="00527310" w:rsidRPr="00980179"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An understanding of the issues relating to service delivery to clients from a wide range of ethnic origins, in particular Aboriginal patients, and a commitment to improving indigenous health;</w:t>
      </w:r>
    </w:p>
    <w:p w:rsidR="0015512E" w:rsidRPr="00046617" w:rsidRDefault="00527310" w:rsidP="008921D6">
      <w:pPr>
        <w:numPr>
          <w:ilvl w:val="0"/>
          <w:numId w:val="22"/>
        </w:numPr>
        <w:tabs>
          <w:tab w:val="clear" w:pos="4136"/>
        </w:tabs>
        <w:spacing w:after="0" w:line="240" w:lineRule="auto"/>
        <w:jc w:val="both"/>
        <w:rPr>
          <w:rFonts w:asciiTheme="minorHAnsi" w:hAnsiTheme="minorHAnsi"/>
          <w:sz w:val="17"/>
          <w:szCs w:val="17"/>
        </w:rPr>
      </w:pPr>
      <w:r w:rsidRPr="00980179">
        <w:rPr>
          <w:rFonts w:asciiTheme="minorHAnsi" w:hAnsiTheme="minorHAnsi"/>
          <w:sz w:val="17"/>
          <w:szCs w:val="17"/>
        </w:rPr>
        <w:t>Evidence of commitment to continuing education, teaching, research and quality assurance activities; Evidence of commitment to the maintenance of the highest professional standards;</w:t>
      </w:r>
    </w:p>
    <w:p w:rsidR="00527310" w:rsidRPr="00980179" w:rsidRDefault="00527310" w:rsidP="008921D6">
      <w:pPr>
        <w:pStyle w:val="Heading1"/>
        <w:spacing w:before="160"/>
        <w:jc w:val="both"/>
        <w:rPr>
          <w:rFonts w:asciiTheme="minorHAnsi" w:hAnsiTheme="minorHAnsi"/>
          <w:sz w:val="17"/>
          <w:szCs w:val="17"/>
        </w:rPr>
      </w:pPr>
      <w:r w:rsidRPr="00980179">
        <w:rPr>
          <w:rFonts w:asciiTheme="minorHAnsi" w:hAnsiTheme="minorHAnsi"/>
          <w:sz w:val="17"/>
          <w:szCs w:val="17"/>
        </w:rPr>
        <w:t>Further information</w:t>
      </w:r>
    </w:p>
    <w:p w:rsidR="002122A2" w:rsidRDefault="00527310" w:rsidP="008921D6">
      <w:pPr>
        <w:spacing w:after="0" w:line="240" w:lineRule="auto"/>
        <w:jc w:val="both"/>
        <w:rPr>
          <w:rFonts w:asciiTheme="minorHAnsi" w:hAnsiTheme="minorHAnsi"/>
          <w:sz w:val="17"/>
          <w:szCs w:val="17"/>
        </w:rPr>
      </w:pPr>
      <w:r w:rsidRPr="00980179">
        <w:rPr>
          <w:rFonts w:asciiTheme="minorHAnsi" w:hAnsiTheme="minorHAnsi"/>
          <w:b/>
          <w:sz w:val="17"/>
          <w:szCs w:val="17"/>
        </w:rPr>
        <w:t>NTPS employees subject to CHO Directions No. 41 of 2022 requires workers in high risk places to have received their third dose (booster) by 11 March 2022 and CHO Directions 52/2022 now requires remaining employees to have received their third dose (booster) by 22 April 2022 (except where a medical exemption is granted).</w:t>
      </w:r>
      <w:r w:rsidRPr="00980179">
        <w:rPr>
          <w:rFonts w:asciiTheme="minorHAnsi" w:hAnsiTheme="minorHAnsi"/>
          <w:sz w:val="17"/>
          <w:szCs w:val="17"/>
        </w:rPr>
        <w:t xml:space="preserve"> </w:t>
      </w:r>
    </w:p>
    <w:p w:rsidR="00527310" w:rsidRPr="00980179" w:rsidRDefault="00527310" w:rsidP="008921D6">
      <w:pPr>
        <w:spacing w:after="0" w:line="240" w:lineRule="auto"/>
        <w:jc w:val="both"/>
        <w:rPr>
          <w:rFonts w:asciiTheme="minorHAnsi" w:hAnsiTheme="minorHAnsi"/>
          <w:sz w:val="17"/>
          <w:szCs w:val="17"/>
        </w:rPr>
      </w:pPr>
      <w:r w:rsidRPr="00980179">
        <w:rPr>
          <w:rFonts w:asciiTheme="minorHAnsi" w:hAnsiTheme="minorHAnsi"/>
          <w:sz w:val="17"/>
          <w:szCs w:val="17"/>
        </w:rPr>
        <w:t>Positions may be subject to pre-employment checks such as immunisation requirements, working with children clearance notice and criminal history checks. A criminal history will not exclude an applicant from this position unless it is a relevant criminal history. For immunisation requirements - Category A (direct contact with blood or body substances) or Category B (indirect contact with blood or body substances), check with contact person for requirements.</w:t>
      </w:r>
    </w:p>
    <w:p w:rsidR="0015512E" w:rsidRDefault="0015512E" w:rsidP="008921D6">
      <w:pPr>
        <w:tabs>
          <w:tab w:val="clear" w:pos="4136"/>
          <w:tab w:val="right" w:pos="10773"/>
        </w:tabs>
        <w:spacing w:after="0" w:line="240" w:lineRule="auto"/>
        <w:jc w:val="both"/>
        <w:rPr>
          <w:rFonts w:asciiTheme="minorHAnsi" w:hAnsiTheme="minorHAnsi"/>
          <w:b/>
          <w:sz w:val="17"/>
          <w:szCs w:val="17"/>
        </w:rPr>
      </w:pPr>
    </w:p>
    <w:p w:rsidR="00B14257" w:rsidRPr="00980179" w:rsidRDefault="00527310" w:rsidP="008921D6">
      <w:pPr>
        <w:tabs>
          <w:tab w:val="clear" w:pos="4136"/>
          <w:tab w:val="right" w:pos="10773"/>
        </w:tabs>
        <w:spacing w:after="0" w:line="240" w:lineRule="auto"/>
        <w:jc w:val="both"/>
        <w:rPr>
          <w:rFonts w:asciiTheme="minorHAnsi" w:hAnsiTheme="minorHAnsi"/>
          <w:sz w:val="17"/>
          <w:szCs w:val="17"/>
        </w:rPr>
      </w:pPr>
      <w:r w:rsidRPr="00980179">
        <w:rPr>
          <w:rFonts w:asciiTheme="minorHAnsi" w:hAnsiTheme="minorHAnsi"/>
          <w:b/>
          <w:sz w:val="17"/>
          <w:szCs w:val="17"/>
        </w:rPr>
        <w:t>Approved:</w:t>
      </w:r>
      <w:r w:rsidRPr="00980179">
        <w:rPr>
          <w:rFonts w:asciiTheme="minorHAnsi" w:hAnsiTheme="minorHAnsi"/>
          <w:sz w:val="17"/>
          <w:szCs w:val="17"/>
        </w:rPr>
        <w:t xml:space="preserve"> March 2022</w:t>
      </w:r>
      <w:r w:rsidRPr="00980179">
        <w:rPr>
          <w:rFonts w:asciiTheme="minorHAnsi" w:hAnsiTheme="minorHAnsi"/>
          <w:sz w:val="17"/>
          <w:szCs w:val="17"/>
        </w:rPr>
        <w:tab/>
        <w:t>Dr Samuel Goodwin, Executive Director Medical and Clinical Services</w:t>
      </w:r>
    </w:p>
    <w:sectPr w:rsidR="00B14257" w:rsidRPr="00980179" w:rsidSect="002122A2">
      <w:headerReference w:type="default" r:id="rId19"/>
      <w:footerReference w:type="default" r:id="rId20"/>
      <w:headerReference w:type="first" r:id="rId21"/>
      <w:footerReference w:type="first" r:id="rId22"/>
      <w:pgSz w:w="11906" w:h="16838" w:code="9"/>
      <w:pgMar w:top="737" w:right="567" w:bottom="1077"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2F" w:rsidRDefault="000D5B2F" w:rsidP="00EF0B77">
      <w:r>
        <w:separator/>
      </w:r>
    </w:p>
  </w:endnote>
  <w:endnote w:type="continuationSeparator" w:id="0">
    <w:p w:rsidR="000D5B2F" w:rsidRDefault="000D5B2F"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10" w:rsidRPr="00527310" w:rsidRDefault="00527310" w:rsidP="00527310">
    <w:pPr>
      <w:spacing w:after="0"/>
      <w:ind w:firstLine="284"/>
      <w:rPr>
        <w:sz w:val="8"/>
      </w:rPr>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527310" w:rsidRPr="00132658" w:rsidTr="007A7171">
      <w:trPr>
        <w:cantSplit/>
        <w:trHeight w:val="836"/>
      </w:trPr>
      <w:tc>
        <w:tcPr>
          <w:tcW w:w="7767" w:type="dxa"/>
          <w:vAlign w:val="bottom"/>
        </w:tcPr>
        <w:p w:rsidR="00527310" w:rsidRPr="00CE30CF" w:rsidRDefault="00527310" w:rsidP="00527310">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4FD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4FD7">
            <w:rPr>
              <w:rStyle w:val="PageNumber"/>
              <w:noProof/>
            </w:rPr>
            <w:t>2</w:t>
          </w:r>
          <w:r w:rsidRPr="00AC4488">
            <w:rPr>
              <w:rStyle w:val="PageNumber"/>
            </w:rPr>
            <w:fldChar w:fldCharType="end"/>
          </w:r>
        </w:p>
      </w:tc>
      <w:tc>
        <w:tcPr>
          <w:tcW w:w="3148" w:type="dxa"/>
          <w:vAlign w:val="bottom"/>
        </w:tcPr>
        <w:p w:rsidR="00527310" w:rsidRPr="001E14EB" w:rsidRDefault="00527310" w:rsidP="00527310">
          <w:pPr>
            <w:spacing w:before="60" w:line="240" w:lineRule="auto"/>
            <w:ind w:right="136"/>
            <w:jc w:val="right"/>
          </w:pPr>
          <w:r>
            <w:rPr>
              <w:noProof/>
            </w:rPr>
            <w:drawing>
              <wp:inline distT="0" distB="0" distL="0" distR="0" wp14:anchorId="1B338724" wp14:editId="22D422E2">
                <wp:extent cx="1332000" cy="475715"/>
                <wp:effectExtent l="0" t="0" r="1905" b="635"/>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4FD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4FD7">
            <w:rPr>
              <w:rStyle w:val="PageNumber"/>
              <w:noProof/>
            </w:rPr>
            <w:t>2</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2F" w:rsidRDefault="000D5B2F" w:rsidP="00EF0B77">
      <w:r>
        <w:separator/>
      </w:r>
    </w:p>
  </w:footnote>
  <w:footnote w:type="continuationSeparator" w:id="0">
    <w:p w:rsidR="000D5B2F" w:rsidRDefault="000D5B2F"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527310" w:rsidRDefault="00CB5104" w:rsidP="00527310">
    <w:pPr>
      <w:pStyle w:val="Title"/>
    </w:pPr>
    <w:r w:rsidRPr="00527310">
      <w:t xml:space="preserve">Job Description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AD61DC" w:rsidRDefault="00212947" w:rsidP="00AD61DC">
    <w:pPr>
      <w:pStyle w:val="Title"/>
    </w:pPr>
    <w: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B60C47"/>
    <w:multiLevelType w:val="hybridMultilevel"/>
    <w:tmpl w:val="5BDA4D26"/>
    <w:lvl w:ilvl="0" w:tplc="0C09000F">
      <w:start w:val="1"/>
      <w:numFmt w:val="decimal"/>
      <w:lvlText w:val="%1."/>
      <w:lvlJc w:val="left"/>
      <w:pPr>
        <w:ind w:left="10" w:hanging="360"/>
      </w:p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7557D3"/>
    <w:multiLevelType w:val="hybridMultilevel"/>
    <w:tmpl w:val="2A740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004DE"/>
    <w:multiLevelType w:val="hybridMultilevel"/>
    <w:tmpl w:val="871015CA"/>
    <w:lvl w:ilvl="0" w:tplc="27BE0CB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875F8E"/>
    <w:multiLevelType w:val="hybridMultilevel"/>
    <w:tmpl w:val="35EE7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790B71"/>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5DA5410D"/>
    <w:multiLevelType w:val="hybridMultilevel"/>
    <w:tmpl w:val="A1A83D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DDF7C13"/>
    <w:multiLevelType w:val="hybridMultilevel"/>
    <w:tmpl w:val="2A740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30050D"/>
    <w:multiLevelType w:val="hybridMultilevel"/>
    <w:tmpl w:val="C6F092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2C94BB5"/>
    <w:multiLevelType w:val="hybridMultilevel"/>
    <w:tmpl w:val="5764F38E"/>
    <w:lvl w:ilvl="0" w:tplc="10E212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2E579F3"/>
    <w:multiLevelType w:val="hybridMultilevel"/>
    <w:tmpl w:val="A90E06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6"/>
  </w:num>
  <w:num w:numId="4">
    <w:abstractNumId w:val="30"/>
  </w:num>
  <w:num w:numId="5">
    <w:abstractNumId w:val="21"/>
  </w:num>
  <w:num w:numId="6">
    <w:abstractNumId w:val="11"/>
  </w:num>
  <w:num w:numId="7">
    <w:abstractNumId w:val="32"/>
  </w:num>
  <w:num w:numId="8">
    <w:abstractNumId w:val="20"/>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num>
  <w:num w:numId="18">
    <w:abstractNumId w:val="43"/>
  </w:num>
  <w:num w:numId="19">
    <w:abstractNumId w:val="25"/>
  </w:num>
  <w:num w:numId="20">
    <w:abstractNumId w:val="15"/>
  </w:num>
  <w:num w:numId="21">
    <w:abstractNumId w:val="42"/>
  </w:num>
  <w:num w:numId="22">
    <w:abstractNumId w:val="16"/>
  </w:num>
  <w:num w:numId="23">
    <w:abstractNumId w:val="39"/>
  </w:num>
  <w:num w:numId="24">
    <w:abstractNumId w:val="40"/>
  </w:num>
  <w:num w:numId="2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C1"/>
    <w:rsid w:val="00001DDF"/>
    <w:rsid w:val="00002A35"/>
    <w:rsid w:val="0000322D"/>
    <w:rsid w:val="00007670"/>
    <w:rsid w:val="00010665"/>
    <w:rsid w:val="0002393A"/>
    <w:rsid w:val="00027154"/>
    <w:rsid w:val="00027DB8"/>
    <w:rsid w:val="00031A96"/>
    <w:rsid w:val="00040BF3"/>
    <w:rsid w:val="0004211C"/>
    <w:rsid w:val="00042C0E"/>
    <w:rsid w:val="00046617"/>
    <w:rsid w:val="00046C59"/>
    <w:rsid w:val="0005119F"/>
    <w:rsid w:val="00051362"/>
    <w:rsid w:val="00051F45"/>
    <w:rsid w:val="00052953"/>
    <w:rsid w:val="0005333A"/>
    <w:rsid w:val="0005341A"/>
    <w:rsid w:val="00056DEF"/>
    <w:rsid w:val="00056EDC"/>
    <w:rsid w:val="00062ED1"/>
    <w:rsid w:val="0006635A"/>
    <w:rsid w:val="000720BE"/>
    <w:rsid w:val="0007259C"/>
    <w:rsid w:val="000735E1"/>
    <w:rsid w:val="000801B3"/>
    <w:rsid w:val="00080202"/>
    <w:rsid w:val="00080DCD"/>
    <w:rsid w:val="00080E22"/>
    <w:rsid w:val="00082573"/>
    <w:rsid w:val="000840A3"/>
    <w:rsid w:val="00085062"/>
    <w:rsid w:val="00086A5F"/>
    <w:rsid w:val="000911EF"/>
    <w:rsid w:val="00094771"/>
    <w:rsid w:val="00094FC8"/>
    <w:rsid w:val="000962C5"/>
    <w:rsid w:val="00097865"/>
    <w:rsid w:val="000A4317"/>
    <w:rsid w:val="000A559C"/>
    <w:rsid w:val="000A5EEB"/>
    <w:rsid w:val="000B2CA1"/>
    <w:rsid w:val="000D1F29"/>
    <w:rsid w:val="000D5B2F"/>
    <w:rsid w:val="000D61F9"/>
    <w:rsid w:val="000D633D"/>
    <w:rsid w:val="000E342B"/>
    <w:rsid w:val="000E3ED2"/>
    <w:rsid w:val="000E5DD2"/>
    <w:rsid w:val="000F2958"/>
    <w:rsid w:val="000F3850"/>
    <w:rsid w:val="000F604F"/>
    <w:rsid w:val="000F636D"/>
    <w:rsid w:val="000F6504"/>
    <w:rsid w:val="00102582"/>
    <w:rsid w:val="00104E7F"/>
    <w:rsid w:val="001137EC"/>
    <w:rsid w:val="001152F5"/>
    <w:rsid w:val="00117743"/>
    <w:rsid w:val="00117F5B"/>
    <w:rsid w:val="00132658"/>
    <w:rsid w:val="0013458C"/>
    <w:rsid w:val="00144126"/>
    <w:rsid w:val="00150DC0"/>
    <w:rsid w:val="0015394D"/>
    <w:rsid w:val="0015512E"/>
    <w:rsid w:val="00156CD4"/>
    <w:rsid w:val="0016153B"/>
    <w:rsid w:val="00162207"/>
    <w:rsid w:val="00163CC8"/>
    <w:rsid w:val="00164A3E"/>
    <w:rsid w:val="00166FF6"/>
    <w:rsid w:val="00176123"/>
    <w:rsid w:val="00181620"/>
    <w:rsid w:val="00187130"/>
    <w:rsid w:val="001957AD"/>
    <w:rsid w:val="00196F8E"/>
    <w:rsid w:val="001A2B7F"/>
    <w:rsid w:val="001A3AFD"/>
    <w:rsid w:val="001A47BF"/>
    <w:rsid w:val="001A496C"/>
    <w:rsid w:val="001A576A"/>
    <w:rsid w:val="001A5F5E"/>
    <w:rsid w:val="001B28DA"/>
    <w:rsid w:val="001B2B6C"/>
    <w:rsid w:val="001B5E90"/>
    <w:rsid w:val="001D01C4"/>
    <w:rsid w:val="001D4F99"/>
    <w:rsid w:val="001D52B0"/>
    <w:rsid w:val="001D5A18"/>
    <w:rsid w:val="001D7CA4"/>
    <w:rsid w:val="001E057F"/>
    <w:rsid w:val="001E14EB"/>
    <w:rsid w:val="001E5AF4"/>
    <w:rsid w:val="001F59E6"/>
    <w:rsid w:val="00203F1C"/>
    <w:rsid w:val="00205690"/>
    <w:rsid w:val="00206936"/>
    <w:rsid w:val="00206C6F"/>
    <w:rsid w:val="00206FBD"/>
    <w:rsid w:val="00207746"/>
    <w:rsid w:val="002122A2"/>
    <w:rsid w:val="00212947"/>
    <w:rsid w:val="002235C5"/>
    <w:rsid w:val="00230031"/>
    <w:rsid w:val="002343EC"/>
    <w:rsid w:val="00235C01"/>
    <w:rsid w:val="00244A64"/>
    <w:rsid w:val="00247343"/>
    <w:rsid w:val="00255806"/>
    <w:rsid w:val="002560EE"/>
    <w:rsid w:val="00260C6D"/>
    <w:rsid w:val="00265C56"/>
    <w:rsid w:val="002716CD"/>
    <w:rsid w:val="00274D4B"/>
    <w:rsid w:val="002806F5"/>
    <w:rsid w:val="00281577"/>
    <w:rsid w:val="00287D73"/>
    <w:rsid w:val="002926BC"/>
    <w:rsid w:val="00293A72"/>
    <w:rsid w:val="002942D4"/>
    <w:rsid w:val="002970D8"/>
    <w:rsid w:val="002A0160"/>
    <w:rsid w:val="002A30C3"/>
    <w:rsid w:val="002A321B"/>
    <w:rsid w:val="002A6F6A"/>
    <w:rsid w:val="002A7712"/>
    <w:rsid w:val="002B38F7"/>
    <w:rsid w:val="002B4F50"/>
    <w:rsid w:val="002B5591"/>
    <w:rsid w:val="002B6AA4"/>
    <w:rsid w:val="002C1FE9"/>
    <w:rsid w:val="002C243B"/>
    <w:rsid w:val="002C68C2"/>
    <w:rsid w:val="002C74B6"/>
    <w:rsid w:val="002D3A57"/>
    <w:rsid w:val="002D6524"/>
    <w:rsid w:val="002D7D05"/>
    <w:rsid w:val="002E20C8"/>
    <w:rsid w:val="002E41FE"/>
    <w:rsid w:val="002E4290"/>
    <w:rsid w:val="002E66A6"/>
    <w:rsid w:val="002F0DB1"/>
    <w:rsid w:val="002F2885"/>
    <w:rsid w:val="002F45A1"/>
    <w:rsid w:val="003007BE"/>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3D8B"/>
    <w:rsid w:val="00375EE8"/>
    <w:rsid w:val="00377B21"/>
    <w:rsid w:val="00382A7F"/>
    <w:rsid w:val="00390862"/>
    <w:rsid w:val="00390CE3"/>
    <w:rsid w:val="00394876"/>
    <w:rsid w:val="00394AAF"/>
    <w:rsid w:val="00394CE5"/>
    <w:rsid w:val="003A6341"/>
    <w:rsid w:val="003B6296"/>
    <w:rsid w:val="003B67FD"/>
    <w:rsid w:val="003B6A61"/>
    <w:rsid w:val="003C1F95"/>
    <w:rsid w:val="003C2198"/>
    <w:rsid w:val="003C4941"/>
    <w:rsid w:val="003D0F63"/>
    <w:rsid w:val="003D42C0"/>
    <w:rsid w:val="003D4A8F"/>
    <w:rsid w:val="003D5B29"/>
    <w:rsid w:val="003D7818"/>
    <w:rsid w:val="003E2445"/>
    <w:rsid w:val="003E2FFE"/>
    <w:rsid w:val="003E3BB2"/>
    <w:rsid w:val="003F2C34"/>
    <w:rsid w:val="003F499F"/>
    <w:rsid w:val="003F5B58"/>
    <w:rsid w:val="0040222A"/>
    <w:rsid w:val="004047BC"/>
    <w:rsid w:val="004100F7"/>
    <w:rsid w:val="00414CB3"/>
    <w:rsid w:val="0041563D"/>
    <w:rsid w:val="004159C8"/>
    <w:rsid w:val="00426E25"/>
    <w:rsid w:val="00427D9C"/>
    <w:rsid w:val="00427E7E"/>
    <w:rsid w:val="0043465D"/>
    <w:rsid w:val="00435082"/>
    <w:rsid w:val="004421CE"/>
    <w:rsid w:val="00443B6E"/>
    <w:rsid w:val="004505AF"/>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5563"/>
    <w:rsid w:val="004B69E4"/>
    <w:rsid w:val="004C27EC"/>
    <w:rsid w:val="004C6C39"/>
    <w:rsid w:val="004D075F"/>
    <w:rsid w:val="004D1B76"/>
    <w:rsid w:val="004D29D1"/>
    <w:rsid w:val="004D344E"/>
    <w:rsid w:val="004D464A"/>
    <w:rsid w:val="004E019E"/>
    <w:rsid w:val="004E06EC"/>
    <w:rsid w:val="004E0A3F"/>
    <w:rsid w:val="004E2CB7"/>
    <w:rsid w:val="004F016A"/>
    <w:rsid w:val="004F0F16"/>
    <w:rsid w:val="00500F94"/>
    <w:rsid w:val="00502FB3"/>
    <w:rsid w:val="00503DE9"/>
    <w:rsid w:val="0050530C"/>
    <w:rsid w:val="00505DEA"/>
    <w:rsid w:val="00506AEE"/>
    <w:rsid w:val="00507782"/>
    <w:rsid w:val="00512A04"/>
    <w:rsid w:val="00520499"/>
    <w:rsid w:val="005249F5"/>
    <w:rsid w:val="005260F7"/>
    <w:rsid w:val="00527310"/>
    <w:rsid w:val="00536D3D"/>
    <w:rsid w:val="00543BD1"/>
    <w:rsid w:val="005558EA"/>
    <w:rsid w:val="00556113"/>
    <w:rsid w:val="0055653B"/>
    <w:rsid w:val="005573A3"/>
    <w:rsid w:val="00564C12"/>
    <w:rsid w:val="005654B8"/>
    <w:rsid w:val="00570D94"/>
    <w:rsid w:val="00571FFC"/>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33F4F"/>
    <w:rsid w:val="006433C3"/>
    <w:rsid w:val="0064651D"/>
    <w:rsid w:val="00646546"/>
    <w:rsid w:val="00650F5B"/>
    <w:rsid w:val="006670D7"/>
    <w:rsid w:val="006719EA"/>
    <w:rsid w:val="00671F13"/>
    <w:rsid w:val="0067400A"/>
    <w:rsid w:val="00680582"/>
    <w:rsid w:val="006847AD"/>
    <w:rsid w:val="006875EA"/>
    <w:rsid w:val="0069047A"/>
    <w:rsid w:val="0069114B"/>
    <w:rsid w:val="006944C1"/>
    <w:rsid w:val="00694FEA"/>
    <w:rsid w:val="006A4FD7"/>
    <w:rsid w:val="006A756A"/>
    <w:rsid w:val="006C0EC2"/>
    <w:rsid w:val="006D66F7"/>
    <w:rsid w:val="006E4705"/>
    <w:rsid w:val="00705C9D"/>
    <w:rsid w:val="00705F13"/>
    <w:rsid w:val="0070624C"/>
    <w:rsid w:val="00714F1D"/>
    <w:rsid w:val="00715225"/>
    <w:rsid w:val="00716ADB"/>
    <w:rsid w:val="0071700C"/>
    <w:rsid w:val="00720662"/>
    <w:rsid w:val="00720CC6"/>
    <w:rsid w:val="0072196C"/>
    <w:rsid w:val="00722CFE"/>
    <w:rsid w:val="00722DDB"/>
    <w:rsid w:val="00724728"/>
    <w:rsid w:val="00724F98"/>
    <w:rsid w:val="00730B9B"/>
    <w:rsid w:val="0073182E"/>
    <w:rsid w:val="007332FF"/>
    <w:rsid w:val="007408F5"/>
    <w:rsid w:val="00741EAE"/>
    <w:rsid w:val="00755248"/>
    <w:rsid w:val="0076190B"/>
    <w:rsid w:val="0076306E"/>
    <w:rsid w:val="0076355D"/>
    <w:rsid w:val="00763A2D"/>
    <w:rsid w:val="00764397"/>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429F"/>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56CD"/>
    <w:rsid w:val="0085797F"/>
    <w:rsid w:val="00861DC3"/>
    <w:rsid w:val="00862445"/>
    <w:rsid w:val="00867019"/>
    <w:rsid w:val="00872EF1"/>
    <w:rsid w:val="008735A9"/>
    <w:rsid w:val="00877BC5"/>
    <w:rsid w:val="00877D20"/>
    <w:rsid w:val="00880EB4"/>
    <w:rsid w:val="0088104B"/>
    <w:rsid w:val="00881C48"/>
    <w:rsid w:val="00885B80"/>
    <w:rsid w:val="00885C30"/>
    <w:rsid w:val="00885E9B"/>
    <w:rsid w:val="008921D6"/>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2E1A"/>
    <w:rsid w:val="008E510B"/>
    <w:rsid w:val="00902B13"/>
    <w:rsid w:val="00903EEE"/>
    <w:rsid w:val="0090409B"/>
    <w:rsid w:val="009050C1"/>
    <w:rsid w:val="00911941"/>
    <w:rsid w:val="009150F4"/>
    <w:rsid w:val="0092024D"/>
    <w:rsid w:val="009247F9"/>
    <w:rsid w:val="00925146"/>
    <w:rsid w:val="00925F0F"/>
    <w:rsid w:val="00931958"/>
    <w:rsid w:val="00931DD5"/>
    <w:rsid w:val="00932F6B"/>
    <w:rsid w:val="009444F0"/>
    <w:rsid w:val="009468BC"/>
    <w:rsid w:val="00947FAE"/>
    <w:rsid w:val="009616DF"/>
    <w:rsid w:val="0096542F"/>
    <w:rsid w:val="009656B1"/>
    <w:rsid w:val="00967FA7"/>
    <w:rsid w:val="00971645"/>
    <w:rsid w:val="00977919"/>
    <w:rsid w:val="00980179"/>
    <w:rsid w:val="00983000"/>
    <w:rsid w:val="009870FA"/>
    <w:rsid w:val="009921C3"/>
    <w:rsid w:val="0099551D"/>
    <w:rsid w:val="009A5897"/>
    <w:rsid w:val="009A5911"/>
    <w:rsid w:val="009A5F24"/>
    <w:rsid w:val="009B0B3E"/>
    <w:rsid w:val="009B1913"/>
    <w:rsid w:val="009B4F64"/>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37CD"/>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B1DB9"/>
    <w:rsid w:val="00AB6760"/>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0304"/>
    <w:rsid w:val="00BA1D47"/>
    <w:rsid w:val="00BA66F0"/>
    <w:rsid w:val="00BB2239"/>
    <w:rsid w:val="00BB2AE7"/>
    <w:rsid w:val="00BB432E"/>
    <w:rsid w:val="00BB6464"/>
    <w:rsid w:val="00BC1BB8"/>
    <w:rsid w:val="00BD7FE1"/>
    <w:rsid w:val="00BE37CA"/>
    <w:rsid w:val="00BE6144"/>
    <w:rsid w:val="00BE635A"/>
    <w:rsid w:val="00BF17E9"/>
    <w:rsid w:val="00BF1B38"/>
    <w:rsid w:val="00BF2ABB"/>
    <w:rsid w:val="00BF5099"/>
    <w:rsid w:val="00C0624C"/>
    <w:rsid w:val="00C10B5E"/>
    <w:rsid w:val="00C10F10"/>
    <w:rsid w:val="00C15D4D"/>
    <w:rsid w:val="00C175DC"/>
    <w:rsid w:val="00C22495"/>
    <w:rsid w:val="00C30171"/>
    <w:rsid w:val="00C309D8"/>
    <w:rsid w:val="00C33655"/>
    <w:rsid w:val="00C42E9F"/>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97E5D"/>
    <w:rsid w:val="00CA36A0"/>
    <w:rsid w:val="00CA6BC5"/>
    <w:rsid w:val="00CB0AB1"/>
    <w:rsid w:val="00CB5104"/>
    <w:rsid w:val="00CB6129"/>
    <w:rsid w:val="00CC4261"/>
    <w:rsid w:val="00CC571B"/>
    <w:rsid w:val="00CC61CD"/>
    <w:rsid w:val="00CC6C02"/>
    <w:rsid w:val="00CC737B"/>
    <w:rsid w:val="00CD5011"/>
    <w:rsid w:val="00CE475E"/>
    <w:rsid w:val="00CE640F"/>
    <w:rsid w:val="00CE76BC"/>
    <w:rsid w:val="00CF540E"/>
    <w:rsid w:val="00D02F07"/>
    <w:rsid w:val="00D133F3"/>
    <w:rsid w:val="00D15D88"/>
    <w:rsid w:val="00D20905"/>
    <w:rsid w:val="00D223F3"/>
    <w:rsid w:val="00D27D49"/>
    <w:rsid w:val="00D27EBE"/>
    <w:rsid w:val="00D35F87"/>
    <w:rsid w:val="00D36A49"/>
    <w:rsid w:val="00D47DC7"/>
    <w:rsid w:val="00D5143F"/>
    <w:rsid w:val="00D517C6"/>
    <w:rsid w:val="00D71D84"/>
    <w:rsid w:val="00D72464"/>
    <w:rsid w:val="00D72A57"/>
    <w:rsid w:val="00D768EB"/>
    <w:rsid w:val="00D81E17"/>
    <w:rsid w:val="00D82D1E"/>
    <w:rsid w:val="00D832D9"/>
    <w:rsid w:val="00D87724"/>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68E8"/>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2757"/>
    <w:rsid w:val="00E93406"/>
    <w:rsid w:val="00E956C5"/>
    <w:rsid w:val="00E95C39"/>
    <w:rsid w:val="00EA2C39"/>
    <w:rsid w:val="00EA3543"/>
    <w:rsid w:val="00EA7C3B"/>
    <w:rsid w:val="00EB0A3C"/>
    <w:rsid w:val="00EB0A96"/>
    <w:rsid w:val="00EB77F9"/>
    <w:rsid w:val="00EC2C75"/>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E7E8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0A5EE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9248420">
      <w:bodyDiv w:val="1"/>
      <w:marLeft w:val="0"/>
      <w:marRight w:val="0"/>
      <w:marTop w:val="0"/>
      <w:marBottom w:val="0"/>
      <w:divBdr>
        <w:top w:val="none" w:sz="0" w:space="0" w:color="auto"/>
        <w:left w:val="none" w:sz="0" w:space="0" w:color="auto"/>
        <w:bottom w:val="none" w:sz="0" w:space="0" w:color="auto"/>
        <w:right w:val="none" w:sz="0" w:space="0" w:color="auto"/>
      </w:divBdr>
    </w:div>
    <w:div w:id="350032875">
      <w:bodyDiv w:val="1"/>
      <w:marLeft w:val="0"/>
      <w:marRight w:val="0"/>
      <w:marTop w:val="0"/>
      <w:marBottom w:val="0"/>
      <w:divBdr>
        <w:top w:val="none" w:sz="0" w:space="0" w:color="auto"/>
        <w:left w:val="none" w:sz="0" w:space="0" w:color="auto"/>
        <w:bottom w:val="none" w:sz="0" w:space="0" w:color="auto"/>
        <w:right w:val="none" w:sz="0" w:space="0" w:color="auto"/>
      </w:divBdr>
    </w:div>
    <w:div w:id="122352065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12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hyperlink" Target="https://ocpe.nt.gov.au/employment-conditions-appeals-grievances/special-measures"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hyperlink" Target="https://ocpe.nt.gov.au/employment-conditions-appeals-grievances/applying-for-and-filling-jobs/information-for-applicants" TargetMode="External"/><Relationship Id="rId2" Type="http://schemas.openxmlformats.org/officeDocument/2006/relationships/customXml" Target="../customXml/item2.xml"/><Relationship Id="rId16" Type="http://schemas.openxmlformats.org/officeDocument/2006/relationships/hyperlink" Target="https://jobs.nt.gov.au/Home/JobDetails?rtfId=237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37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alth.nt.gov.au/" TargetMode="External"/><Relationship Id="rId23" Type="http://schemas.openxmlformats.org/officeDocument/2006/relationships/fontTable" Target="fontTable.xml"/><Relationship Id="rId10" Type="http://schemas.openxmlformats.org/officeDocument/2006/relationships/hyperlink" Target="http://www.health.nt.gov.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ephen.brady@nt.gov.au" TargetMode="External"/><Relationship Id="rId14" Type="http://schemas.openxmlformats.org/officeDocument/2006/relationships/hyperlink" Target="mailto:stephen.brady@nt.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35729A-5C41-466A-B951-375C31D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2022-04-01T01:42:00Z</dcterms:created>
  <dcterms:modified xsi:type="dcterms:W3CDTF">2022-04-01T01:42:00Z</dcterms:modified>
</cp:coreProperties>
</file>